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753E56" w:rsidRDefault="006544C4" w:rsidP="00753E56">
      <w:pPr>
        <w:jc w:val="center"/>
        <w:rPr>
          <w:lang w:val="fr-FR"/>
        </w:rPr>
      </w:pPr>
      <w:bookmarkStart w:id="0" w:name="_GoBack"/>
      <w:bookmarkEnd w:id="0"/>
    </w:p>
    <w:p w:rsidR="0094178F" w:rsidRPr="00753E56" w:rsidRDefault="0094178F" w:rsidP="00753E56">
      <w:pPr>
        <w:jc w:val="center"/>
        <w:rPr>
          <w:sz w:val="4"/>
          <w:szCs w:val="4"/>
          <w:lang w:val="fr-FR"/>
        </w:rPr>
      </w:pPr>
    </w:p>
    <w:p w:rsidR="006544C4" w:rsidRPr="00753E56" w:rsidRDefault="009A7AB9" w:rsidP="00753E56">
      <w:pPr>
        <w:pStyle w:val="DecHTitle"/>
        <w:rPr>
          <w:lang w:val="fr-FR"/>
        </w:rPr>
      </w:pPr>
      <w:r w:rsidRPr="00753E56">
        <w:rPr>
          <w:szCs w:val="24"/>
          <w:lang w:val="fr-FR"/>
        </w:rPr>
        <w:t>PREMIÈRE SECTION</w:t>
      </w:r>
    </w:p>
    <w:p w:rsidR="006544C4" w:rsidRPr="00753E56" w:rsidRDefault="006544C4" w:rsidP="00753E56">
      <w:pPr>
        <w:pStyle w:val="DecHTitle"/>
        <w:rPr>
          <w:caps/>
          <w:sz w:val="32"/>
          <w:lang w:val="fr-FR"/>
        </w:rPr>
      </w:pPr>
      <w:r w:rsidRPr="00753E56">
        <w:rPr>
          <w:lang w:val="fr-FR"/>
        </w:rPr>
        <w:t>DÉCISION</w:t>
      </w:r>
    </w:p>
    <w:p w:rsidR="006544C4" w:rsidRPr="00753E56" w:rsidRDefault="009A7AB9" w:rsidP="00753E56">
      <w:pPr>
        <w:pStyle w:val="ECHRTitleCentre2"/>
        <w:rPr>
          <w:i w:val="0"/>
          <w:lang w:val="fr-FR"/>
        </w:rPr>
      </w:pPr>
      <w:r w:rsidRPr="00753E56">
        <w:rPr>
          <w:i w:val="0"/>
          <w:lang w:val="fr-FR"/>
        </w:rPr>
        <w:t>Requête n</w:t>
      </w:r>
      <w:r w:rsidRPr="00753E56">
        <w:rPr>
          <w:i w:val="0"/>
          <w:vertAlign w:val="superscript"/>
          <w:lang w:val="fr-FR"/>
        </w:rPr>
        <w:t>o</w:t>
      </w:r>
      <w:r w:rsidR="006544C4" w:rsidRPr="00753E56">
        <w:rPr>
          <w:i w:val="0"/>
          <w:lang w:val="fr-FR"/>
        </w:rPr>
        <w:t xml:space="preserve"> </w:t>
      </w:r>
      <w:r w:rsidRPr="00753E56">
        <w:rPr>
          <w:i w:val="0"/>
          <w:lang w:val="fr-FR"/>
        </w:rPr>
        <w:t>14862/07</w:t>
      </w:r>
      <w:r w:rsidR="006544C4" w:rsidRPr="00753E56">
        <w:rPr>
          <w:i w:val="0"/>
          <w:lang w:val="fr-FR"/>
        </w:rPr>
        <w:br/>
      </w:r>
      <w:r w:rsidRPr="00753E56">
        <w:rPr>
          <w:i w:val="0"/>
          <w:lang w:val="fr-FR"/>
        </w:rPr>
        <w:t>Olga MAURIELLO</w:t>
      </w:r>
      <w:r w:rsidRPr="00753E56">
        <w:rPr>
          <w:i w:val="0"/>
          <w:lang w:val="fr-FR"/>
        </w:rPr>
        <w:br/>
      </w:r>
      <w:r w:rsidR="006544C4" w:rsidRPr="00753E56">
        <w:rPr>
          <w:i w:val="0"/>
          <w:lang w:val="fr-FR"/>
        </w:rPr>
        <w:t xml:space="preserve">contre </w:t>
      </w:r>
      <w:r w:rsidRPr="00753E56">
        <w:rPr>
          <w:i w:val="0"/>
          <w:lang w:val="fr-FR"/>
        </w:rPr>
        <w:t>l</w:t>
      </w:r>
      <w:r w:rsidR="00753E56" w:rsidRPr="00753E56">
        <w:rPr>
          <w:i w:val="0"/>
          <w:lang w:val="fr-FR"/>
        </w:rPr>
        <w:t>’</w:t>
      </w:r>
      <w:r w:rsidRPr="00753E56">
        <w:rPr>
          <w:i w:val="0"/>
          <w:lang w:val="fr-FR"/>
        </w:rPr>
        <w:t>Italie</w:t>
      </w:r>
    </w:p>
    <w:p w:rsidR="009A7AB9" w:rsidRPr="00753E56" w:rsidRDefault="009A7AB9" w:rsidP="00753E56">
      <w:pPr>
        <w:pStyle w:val="ECHRPara"/>
        <w:rPr>
          <w:lang w:val="fr-FR"/>
        </w:rPr>
      </w:pPr>
      <w:r w:rsidRPr="00753E56">
        <w:rPr>
          <w:lang w:val="fr-FR"/>
        </w:rPr>
        <w:t>La Cour européenne des droits de l</w:t>
      </w:r>
      <w:r w:rsidR="00753E56" w:rsidRPr="00753E56">
        <w:rPr>
          <w:lang w:val="fr-FR"/>
        </w:rPr>
        <w:t>’</w:t>
      </w:r>
      <w:r w:rsidRPr="00753E56">
        <w:rPr>
          <w:lang w:val="fr-FR"/>
        </w:rPr>
        <w:t>homme (première section), siégeant le 13 septembre 2016</w:t>
      </w:r>
      <w:r w:rsidR="006C1D84" w:rsidRPr="00753E56">
        <w:rPr>
          <w:lang w:val="fr-FR"/>
        </w:rPr>
        <w:t xml:space="preserve"> </w:t>
      </w:r>
      <w:r w:rsidRPr="00753E56">
        <w:rPr>
          <w:lang w:val="fr-FR"/>
        </w:rPr>
        <w:t>en une chambre composée de :</w:t>
      </w:r>
    </w:p>
    <w:p w:rsidR="009A7AB9" w:rsidRPr="00753E56" w:rsidRDefault="009A7AB9" w:rsidP="00753E56">
      <w:pPr>
        <w:pStyle w:val="ECHRDecisionBody"/>
        <w:rPr>
          <w:lang w:val="fr-FR"/>
        </w:rPr>
      </w:pPr>
      <w:r w:rsidRPr="00753E56">
        <w:rPr>
          <w:lang w:val="fr-FR"/>
        </w:rPr>
        <w:tab/>
        <w:t>Mirjana Lazarova Trajkovska,</w:t>
      </w:r>
      <w:r w:rsidRPr="00753E56">
        <w:rPr>
          <w:i/>
          <w:lang w:val="fr-FR"/>
        </w:rPr>
        <w:t xml:space="preserve"> présidente,</w:t>
      </w:r>
      <w:r w:rsidRPr="00753E56">
        <w:rPr>
          <w:i/>
          <w:lang w:val="fr-FR"/>
        </w:rPr>
        <w:br/>
      </w:r>
      <w:r w:rsidRPr="00753E56">
        <w:rPr>
          <w:lang w:val="fr-FR"/>
        </w:rPr>
        <w:tab/>
        <w:t>Ledi Bianku,</w:t>
      </w:r>
      <w:r w:rsidRPr="00753E56">
        <w:rPr>
          <w:i/>
          <w:lang w:val="fr-FR"/>
        </w:rPr>
        <w:br/>
      </w:r>
      <w:r w:rsidRPr="00753E56">
        <w:rPr>
          <w:lang w:val="fr-FR"/>
        </w:rPr>
        <w:tab/>
        <w:t>Guido Raimondi,</w:t>
      </w:r>
      <w:r w:rsidRPr="00753E56">
        <w:rPr>
          <w:i/>
          <w:lang w:val="fr-FR"/>
        </w:rPr>
        <w:br/>
      </w:r>
      <w:r w:rsidRPr="00753E56">
        <w:rPr>
          <w:lang w:val="fr-FR"/>
        </w:rPr>
        <w:tab/>
        <w:t>Kristina Pardalos,</w:t>
      </w:r>
      <w:r w:rsidRPr="00753E56">
        <w:rPr>
          <w:i/>
          <w:lang w:val="fr-FR"/>
        </w:rPr>
        <w:br/>
      </w:r>
      <w:r w:rsidRPr="00753E56">
        <w:rPr>
          <w:lang w:val="fr-FR"/>
        </w:rPr>
        <w:tab/>
        <w:t>Robert Spano,</w:t>
      </w:r>
      <w:r w:rsidRPr="00753E56">
        <w:rPr>
          <w:i/>
          <w:lang w:val="fr-FR"/>
        </w:rPr>
        <w:br/>
      </w:r>
      <w:r w:rsidRPr="00753E56">
        <w:rPr>
          <w:lang w:val="fr-FR"/>
        </w:rPr>
        <w:tab/>
        <w:t>Armen Harutyunyan,</w:t>
      </w:r>
      <w:r w:rsidRPr="00753E56">
        <w:rPr>
          <w:i/>
          <w:lang w:val="fr-FR"/>
        </w:rPr>
        <w:br/>
      </w:r>
      <w:r w:rsidRPr="00753E56">
        <w:rPr>
          <w:lang w:val="fr-FR"/>
        </w:rPr>
        <w:tab/>
        <w:t>Pauliine Koskelo,</w:t>
      </w:r>
      <w:r w:rsidRPr="00753E56">
        <w:rPr>
          <w:i/>
          <w:lang w:val="fr-FR"/>
        </w:rPr>
        <w:t xml:space="preserve"> juges,</w:t>
      </w:r>
      <w:r w:rsidRPr="00753E56">
        <w:rPr>
          <w:i/>
          <w:lang w:val="fr-FR"/>
        </w:rPr>
        <w:br/>
      </w:r>
      <w:r w:rsidRPr="00753E56">
        <w:rPr>
          <w:lang w:val="fr-FR"/>
        </w:rPr>
        <w:t xml:space="preserve">et de Abel Campos, </w:t>
      </w:r>
      <w:r w:rsidRPr="00753E56">
        <w:rPr>
          <w:i/>
          <w:lang w:val="fr-FR"/>
        </w:rPr>
        <w:t>greffier de section</w:t>
      </w:r>
      <w:r w:rsidRPr="00753E56">
        <w:rPr>
          <w:lang w:val="fr-FR"/>
        </w:rPr>
        <w:t>,</w:t>
      </w:r>
    </w:p>
    <w:p w:rsidR="009A7AB9" w:rsidRPr="00753E56" w:rsidRDefault="009A7AB9" w:rsidP="00753E56">
      <w:pPr>
        <w:pStyle w:val="ECHRPara"/>
        <w:rPr>
          <w:lang w:val="fr-FR"/>
        </w:rPr>
      </w:pPr>
      <w:r w:rsidRPr="00753E56">
        <w:rPr>
          <w:lang w:val="fr-FR"/>
        </w:rPr>
        <w:t>Vu la requête susmentionnée introduite le 30 mars 2007,</w:t>
      </w:r>
    </w:p>
    <w:p w:rsidR="009A7AB9" w:rsidRPr="00753E56" w:rsidRDefault="009A7AB9" w:rsidP="00753E56">
      <w:pPr>
        <w:pStyle w:val="ECHRPara"/>
        <w:rPr>
          <w:lang w:val="fr-FR"/>
        </w:rPr>
      </w:pPr>
      <w:r w:rsidRPr="00753E56">
        <w:rPr>
          <w:lang w:val="fr-FR"/>
        </w:rPr>
        <w:t>Vu les observations soumises par le gouvernement défendeur,</w:t>
      </w:r>
    </w:p>
    <w:p w:rsidR="009A7AB9" w:rsidRPr="00753E56" w:rsidRDefault="009A7AB9" w:rsidP="00753E56">
      <w:pPr>
        <w:pStyle w:val="ECHRPara"/>
        <w:rPr>
          <w:lang w:val="fr-FR"/>
        </w:rPr>
      </w:pPr>
      <w:r w:rsidRPr="00753E56">
        <w:rPr>
          <w:lang w:val="fr-FR"/>
        </w:rPr>
        <w:t>Après en avoir délibéré, rend la décision suivante :</w:t>
      </w:r>
    </w:p>
    <w:p w:rsidR="009A7AB9" w:rsidRPr="00753E56" w:rsidRDefault="009A7AB9" w:rsidP="00753E56">
      <w:pPr>
        <w:pStyle w:val="ECHRTitle1"/>
        <w:rPr>
          <w:lang w:val="fr-FR"/>
        </w:rPr>
      </w:pPr>
      <w:r w:rsidRPr="00753E56">
        <w:rPr>
          <w:lang w:val="fr-FR"/>
        </w:rPr>
        <w:t>EN FAIT</w:t>
      </w:r>
    </w:p>
    <w:p w:rsidR="009A7AB9" w:rsidRPr="00753E56" w:rsidRDefault="009A7AB9" w:rsidP="00753E56">
      <w:pPr>
        <w:pStyle w:val="ECHRPara"/>
        <w:rPr>
          <w:lang w:val="fr-FR"/>
        </w:rPr>
      </w:pPr>
      <w:r w:rsidRPr="00753E56">
        <w:rPr>
          <w:lang w:val="fr-FR"/>
        </w:rPr>
        <w:t>1.  La requérante, M</w:t>
      </w:r>
      <w:r w:rsidRPr="00753E56">
        <w:rPr>
          <w:vertAlign w:val="superscript"/>
          <w:lang w:val="fr-FR"/>
        </w:rPr>
        <w:t>me</w:t>
      </w:r>
      <w:r w:rsidRPr="00753E56">
        <w:rPr>
          <w:lang w:val="fr-FR"/>
        </w:rPr>
        <w:t xml:space="preserve"> Olga Mauriello, est une ressortissante italienne née en 1933 et résidant à Naples. Elle est représentée devant la Cour par M</w:t>
      </w:r>
      <w:r w:rsidRPr="00753E56">
        <w:rPr>
          <w:vertAlign w:val="superscript"/>
          <w:lang w:val="fr-FR"/>
        </w:rPr>
        <w:t>e</w:t>
      </w:r>
      <w:r w:rsidRPr="00753E56">
        <w:rPr>
          <w:lang w:val="fr-FR"/>
        </w:rPr>
        <w:t> F. Manzon, avocat à Naples.</w:t>
      </w:r>
    </w:p>
    <w:p w:rsidR="009A7AB9" w:rsidRPr="00753E56" w:rsidRDefault="009A7AB9" w:rsidP="00753E56">
      <w:pPr>
        <w:pStyle w:val="ECHRPara"/>
        <w:rPr>
          <w:lang w:val="fr-FR"/>
        </w:rPr>
      </w:pPr>
      <w:r w:rsidRPr="00753E56">
        <w:rPr>
          <w:lang w:val="fr-FR"/>
        </w:rPr>
        <w:t>2.  Le gouvernement italien (« le Gouvernement ») est été représenté par son agent, M</w:t>
      </w:r>
      <w:r w:rsidRPr="00753E56">
        <w:rPr>
          <w:vertAlign w:val="superscript"/>
          <w:lang w:val="fr-FR"/>
        </w:rPr>
        <w:t>me</w:t>
      </w:r>
      <w:r w:rsidRPr="00753E56">
        <w:rPr>
          <w:lang w:val="fr-FR"/>
        </w:rPr>
        <w:t xml:space="preserve"> E. </w:t>
      </w:r>
      <w:r w:rsidR="006C1D84" w:rsidRPr="00753E56">
        <w:rPr>
          <w:lang w:val="fr-FR"/>
        </w:rPr>
        <w:t>Spatafora, et par son</w:t>
      </w:r>
      <w:r w:rsidRPr="00753E56">
        <w:rPr>
          <w:lang w:val="fr-FR"/>
        </w:rPr>
        <w:t xml:space="preserve"> coagent, M</w:t>
      </w:r>
      <w:r w:rsidRPr="00753E56">
        <w:rPr>
          <w:vertAlign w:val="superscript"/>
          <w:lang w:val="fr-FR"/>
        </w:rPr>
        <w:t>me</w:t>
      </w:r>
      <w:r w:rsidRPr="00753E56">
        <w:rPr>
          <w:lang w:val="fr-FR"/>
        </w:rPr>
        <w:t xml:space="preserve"> P. Accardo.</w:t>
      </w:r>
    </w:p>
    <w:p w:rsidR="009A7AB9" w:rsidRPr="00753E56" w:rsidRDefault="009A7AB9" w:rsidP="00753E56">
      <w:pPr>
        <w:pStyle w:val="ECHRHeading2"/>
        <w:rPr>
          <w:lang w:val="fr-FR"/>
        </w:rPr>
      </w:pPr>
      <w:r w:rsidRPr="00753E56">
        <w:rPr>
          <w:lang w:val="fr-FR"/>
        </w:rPr>
        <w:t>A.  Les circonstances de l</w:t>
      </w:r>
      <w:r w:rsidR="00753E56" w:rsidRPr="00753E56">
        <w:rPr>
          <w:lang w:val="fr-FR"/>
        </w:rPr>
        <w:t>’</w:t>
      </w:r>
      <w:r w:rsidRPr="00753E56">
        <w:rPr>
          <w:lang w:val="fr-FR"/>
        </w:rPr>
        <w:t>espèce</w:t>
      </w:r>
    </w:p>
    <w:p w:rsidR="009A7AB9" w:rsidRPr="00753E56" w:rsidRDefault="009A7AB9" w:rsidP="00753E56">
      <w:pPr>
        <w:pStyle w:val="ECHRPara"/>
        <w:rPr>
          <w:rStyle w:val="traduction"/>
          <w:lang w:val="fr-FR"/>
        </w:rPr>
      </w:pPr>
      <w:r w:rsidRPr="00753E56">
        <w:rPr>
          <w:lang w:val="fr-FR"/>
        </w:rPr>
        <w:t xml:space="preserve">3.  La requérante travailla comme </w:t>
      </w:r>
      <w:r w:rsidRPr="00753E56">
        <w:rPr>
          <w:rStyle w:val="traduction"/>
          <w:lang w:val="fr-FR"/>
        </w:rPr>
        <w:t>dactylographe judiciaire (</w:t>
      </w:r>
      <w:r w:rsidRPr="00753E56">
        <w:rPr>
          <w:rStyle w:val="traduction"/>
          <w:i/>
          <w:lang w:val="fr-FR"/>
        </w:rPr>
        <w:t>dattilografa giudiziaria</w:t>
      </w:r>
      <w:r w:rsidRPr="00753E56">
        <w:rPr>
          <w:rStyle w:val="traduction"/>
          <w:lang w:val="fr-FR"/>
        </w:rPr>
        <w:t xml:space="preserve">) auprès de plusieurs tribunaux du 29 mai 1990 au </w:t>
      </w:r>
      <w:r w:rsidR="002D5E24" w:rsidRPr="00753E56">
        <w:rPr>
          <w:rStyle w:val="traduction"/>
          <w:lang w:val="fr-FR"/>
        </w:rPr>
        <w:t>30 novembre </w:t>
      </w:r>
      <w:r w:rsidR="00CE3F75" w:rsidRPr="00753E56">
        <w:rPr>
          <w:rStyle w:val="traduction"/>
          <w:lang w:val="fr-FR"/>
        </w:rPr>
        <w:t>2000</w:t>
      </w:r>
      <w:r w:rsidRPr="00753E56">
        <w:rPr>
          <w:rStyle w:val="traduction"/>
          <w:lang w:val="fr-FR"/>
        </w:rPr>
        <w:t>, cotisant à l</w:t>
      </w:r>
      <w:r w:rsidR="00753E56" w:rsidRPr="00753E56">
        <w:rPr>
          <w:rStyle w:val="traduction"/>
          <w:lang w:val="fr-FR"/>
        </w:rPr>
        <w:t>’</w:t>
      </w:r>
      <w:r w:rsidRPr="00753E56">
        <w:rPr>
          <w:rStyle w:val="traduction"/>
          <w:lang w:val="fr-FR"/>
        </w:rPr>
        <w:t xml:space="preserve">Institut national de prévoyance des </w:t>
      </w:r>
      <w:r w:rsidRPr="00753E56">
        <w:rPr>
          <w:rStyle w:val="traduction"/>
          <w:lang w:val="fr-FR"/>
        </w:rPr>
        <w:lastRenderedPageBreak/>
        <w:t>fonctionnaires de l</w:t>
      </w:r>
      <w:r w:rsidR="00753E56" w:rsidRPr="00753E56">
        <w:rPr>
          <w:rStyle w:val="traduction"/>
          <w:lang w:val="fr-FR"/>
        </w:rPr>
        <w:t>’</w:t>
      </w:r>
      <w:r w:rsidRPr="00753E56">
        <w:rPr>
          <w:rStyle w:val="traduction"/>
          <w:lang w:val="fr-FR"/>
        </w:rPr>
        <w:t>administration publique (INPDAP) à hauteur d</w:t>
      </w:r>
      <w:r w:rsidR="00753E56" w:rsidRPr="00753E56">
        <w:rPr>
          <w:rStyle w:val="traduction"/>
          <w:lang w:val="fr-FR"/>
        </w:rPr>
        <w:t>’</w:t>
      </w:r>
      <w:r w:rsidRPr="00753E56">
        <w:rPr>
          <w:rStyle w:val="traduction"/>
          <w:lang w:val="fr-FR"/>
        </w:rPr>
        <w:t xml:space="preserve">environ un tiers </w:t>
      </w:r>
      <w:r w:rsidRPr="00753E56">
        <w:rPr>
          <w:szCs w:val="24"/>
          <w:lang w:val="fr-FR"/>
        </w:rPr>
        <w:t xml:space="preserve">du salaire mensuel perçu par elle pendant la durée de son activité, soit </w:t>
      </w:r>
      <w:r w:rsidRPr="00753E56">
        <w:rPr>
          <w:rStyle w:val="traduction"/>
          <w:lang w:val="fr-FR"/>
        </w:rPr>
        <w:t>un montant total de 44 770,44 euros (EUR). Le 1</w:t>
      </w:r>
      <w:r w:rsidRPr="00753E56">
        <w:rPr>
          <w:rStyle w:val="traduction"/>
          <w:vertAlign w:val="superscript"/>
          <w:lang w:val="fr-FR"/>
        </w:rPr>
        <w:t>er</w:t>
      </w:r>
      <w:r w:rsidRPr="00753E56">
        <w:rPr>
          <w:rStyle w:val="traduction"/>
          <w:lang w:val="fr-FR"/>
        </w:rPr>
        <w:t xml:space="preserve"> décembre 2000, ayant atteint l</w:t>
      </w:r>
      <w:r w:rsidR="00753E56" w:rsidRPr="00753E56">
        <w:rPr>
          <w:rStyle w:val="traduction"/>
          <w:lang w:val="fr-FR"/>
        </w:rPr>
        <w:t>’</w:t>
      </w:r>
      <w:r w:rsidRPr="00753E56">
        <w:rPr>
          <w:rStyle w:val="traduction"/>
          <w:lang w:val="fr-FR"/>
        </w:rPr>
        <w:t>âge limite légal de départ à la retraite, la requérante dut cesser son activité professionnelle. Comme elle n</w:t>
      </w:r>
      <w:r w:rsidR="00753E56" w:rsidRPr="00753E56">
        <w:rPr>
          <w:rStyle w:val="traduction"/>
          <w:lang w:val="fr-FR"/>
        </w:rPr>
        <w:t>’</w:t>
      </w:r>
      <w:r w:rsidRPr="00753E56">
        <w:rPr>
          <w:rStyle w:val="traduction"/>
          <w:lang w:val="fr-FR"/>
        </w:rPr>
        <w:t>avait pas cotisé pendant une durée suffisante pour avoir droit à la pension de retraite, elle saisit les tribunaux internes en vue d</w:t>
      </w:r>
      <w:r w:rsidR="00753E56" w:rsidRPr="00753E56">
        <w:rPr>
          <w:rStyle w:val="traduction"/>
          <w:lang w:val="fr-FR"/>
        </w:rPr>
        <w:t>’</w:t>
      </w:r>
      <w:r w:rsidRPr="00753E56">
        <w:rPr>
          <w:rStyle w:val="traduction"/>
          <w:lang w:val="fr-FR"/>
        </w:rPr>
        <w:t>obtenir l</w:t>
      </w:r>
      <w:r w:rsidR="00753E56" w:rsidRPr="00753E56">
        <w:rPr>
          <w:rStyle w:val="traduction"/>
          <w:lang w:val="fr-FR"/>
        </w:rPr>
        <w:t>’</w:t>
      </w:r>
      <w:r w:rsidRPr="00753E56">
        <w:rPr>
          <w:rStyle w:val="traduction"/>
          <w:lang w:val="fr-FR"/>
        </w:rPr>
        <w:t>autorisation de continuer à travailler jusqu</w:t>
      </w:r>
      <w:r w:rsidR="00753E56" w:rsidRPr="00753E56">
        <w:rPr>
          <w:rStyle w:val="traduction"/>
          <w:lang w:val="fr-FR"/>
        </w:rPr>
        <w:t>’</w:t>
      </w:r>
      <w:r w:rsidRPr="00753E56">
        <w:rPr>
          <w:rStyle w:val="traduction"/>
          <w:lang w:val="fr-FR"/>
        </w:rPr>
        <w:t>à l</w:t>
      </w:r>
      <w:r w:rsidR="00753E56" w:rsidRPr="00753E56">
        <w:rPr>
          <w:rStyle w:val="traduction"/>
          <w:lang w:val="fr-FR"/>
        </w:rPr>
        <w:t>’</w:t>
      </w:r>
      <w:r w:rsidRPr="00753E56">
        <w:rPr>
          <w:rStyle w:val="traduction"/>
          <w:lang w:val="fr-FR"/>
        </w:rPr>
        <w:t>âge de 70 ans. La procédure prit fin par un arrêt de la Cour de cassation, déposé au greffe le 4 décembre 2006, par lequel la haute juridiction rejetait la demande de la requérante au motif que le droit interne ne prévoyait la possibilité de travailler jusqu</w:t>
      </w:r>
      <w:r w:rsidR="00753E56" w:rsidRPr="00753E56">
        <w:rPr>
          <w:rStyle w:val="traduction"/>
          <w:lang w:val="fr-FR"/>
        </w:rPr>
        <w:t>’</w:t>
      </w:r>
      <w:r w:rsidRPr="00753E56">
        <w:rPr>
          <w:rStyle w:val="traduction"/>
          <w:lang w:val="fr-FR"/>
        </w:rPr>
        <w:t>à l</w:t>
      </w:r>
      <w:r w:rsidR="00753E56" w:rsidRPr="00753E56">
        <w:rPr>
          <w:rStyle w:val="traduction"/>
          <w:lang w:val="fr-FR"/>
        </w:rPr>
        <w:t>’</w:t>
      </w:r>
      <w:r w:rsidRPr="00753E56">
        <w:rPr>
          <w:rStyle w:val="traduction"/>
          <w:lang w:val="fr-FR"/>
        </w:rPr>
        <w:t>âge de 70 ans que lorsque pareille prolongation avait pour effet l</w:t>
      </w:r>
      <w:r w:rsidR="00753E56" w:rsidRPr="00753E56">
        <w:rPr>
          <w:rStyle w:val="traduction"/>
          <w:lang w:val="fr-FR"/>
        </w:rPr>
        <w:t>’</w:t>
      </w:r>
      <w:r w:rsidRPr="00753E56">
        <w:rPr>
          <w:rStyle w:val="traduction"/>
          <w:lang w:val="fr-FR"/>
        </w:rPr>
        <w:t>atteinte du nombre d</w:t>
      </w:r>
      <w:r w:rsidR="00753E56" w:rsidRPr="00753E56">
        <w:rPr>
          <w:rStyle w:val="traduction"/>
          <w:lang w:val="fr-FR"/>
        </w:rPr>
        <w:t>’</w:t>
      </w:r>
      <w:r w:rsidRPr="00753E56">
        <w:rPr>
          <w:rStyle w:val="traduction"/>
          <w:lang w:val="fr-FR"/>
        </w:rPr>
        <w:t>années de cotisation requis pour ouvrir un droit à la pension, ce qu</w:t>
      </w:r>
      <w:r w:rsidR="00753E56" w:rsidRPr="00753E56">
        <w:rPr>
          <w:rStyle w:val="traduction"/>
          <w:lang w:val="fr-FR"/>
        </w:rPr>
        <w:t>’</w:t>
      </w:r>
      <w:r w:rsidRPr="00753E56">
        <w:rPr>
          <w:rStyle w:val="traduction"/>
          <w:lang w:val="fr-FR"/>
        </w:rPr>
        <w:t>elle estimait ne pas être le cas de la requérante.</w:t>
      </w:r>
    </w:p>
    <w:p w:rsidR="009A7AB9" w:rsidRPr="00753E56" w:rsidRDefault="009A7AB9" w:rsidP="00753E56">
      <w:pPr>
        <w:pStyle w:val="ECHRPara"/>
        <w:rPr>
          <w:lang w:val="fr-FR"/>
        </w:rPr>
      </w:pPr>
      <w:r w:rsidRPr="00753E56">
        <w:rPr>
          <w:rStyle w:val="traduction"/>
          <w:lang w:val="fr-FR"/>
        </w:rPr>
        <w:t xml:space="preserve">4.  En application de la loi (loi </w:t>
      </w:r>
      <w:r w:rsidRPr="00753E56">
        <w:rPr>
          <w:color w:val="000000"/>
          <w:szCs w:val="24"/>
          <w:lang w:val="fr-FR"/>
        </w:rPr>
        <w:t>n</w:t>
      </w:r>
      <w:r w:rsidRPr="00753E56">
        <w:rPr>
          <w:color w:val="000000"/>
          <w:szCs w:val="24"/>
          <w:vertAlign w:val="superscript"/>
          <w:lang w:val="fr-FR"/>
        </w:rPr>
        <w:t>o</w:t>
      </w:r>
      <w:r w:rsidRPr="00753E56">
        <w:rPr>
          <w:rStyle w:val="traduction"/>
          <w:lang w:val="fr-FR"/>
        </w:rPr>
        <w:t xml:space="preserve"> 322 </w:t>
      </w:r>
      <w:r w:rsidRPr="00753E56">
        <w:rPr>
          <w:rStyle w:val="traduction"/>
          <w:szCs w:val="24"/>
          <w:lang w:val="fr-FR"/>
        </w:rPr>
        <w:t xml:space="preserve">de 1958 et </w:t>
      </w:r>
      <w:r w:rsidRPr="00753E56">
        <w:rPr>
          <w:szCs w:val="24"/>
          <w:lang w:val="fr-FR"/>
        </w:rPr>
        <w:t xml:space="preserve">DPR </w:t>
      </w:r>
      <w:r w:rsidRPr="00753E56">
        <w:rPr>
          <w:color w:val="000000"/>
          <w:szCs w:val="24"/>
          <w:lang w:val="fr-FR"/>
        </w:rPr>
        <w:t>n</w:t>
      </w:r>
      <w:r w:rsidRPr="00753E56">
        <w:rPr>
          <w:color w:val="000000"/>
          <w:szCs w:val="24"/>
          <w:vertAlign w:val="superscript"/>
          <w:lang w:val="fr-FR"/>
        </w:rPr>
        <w:t>o</w:t>
      </w:r>
      <w:r w:rsidRPr="00753E56">
        <w:rPr>
          <w:szCs w:val="24"/>
          <w:lang w:val="fr-FR"/>
        </w:rPr>
        <w:t xml:space="preserve"> 1092 de 1973)</w:t>
      </w:r>
      <w:r w:rsidRPr="00753E56">
        <w:rPr>
          <w:rStyle w:val="traduction"/>
          <w:szCs w:val="24"/>
          <w:lang w:val="fr-FR"/>
        </w:rPr>
        <w:t>, le</w:t>
      </w:r>
      <w:r w:rsidRPr="00753E56">
        <w:rPr>
          <w:rStyle w:val="traduction"/>
          <w:lang w:val="fr-FR"/>
        </w:rPr>
        <w:t xml:space="preserve"> montant total des cotisations versées par l</w:t>
      </w:r>
      <w:r w:rsidR="00753E56" w:rsidRPr="00753E56">
        <w:rPr>
          <w:rStyle w:val="traduction"/>
          <w:lang w:val="fr-FR"/>
        </w:rPr>
        <w:t>’</w:t>
      </w:r>
      <w:r w:rsidRPr="00753E56">
        <w:rPr>
          <w:rStyle w:val="traduction"/>
          <w:lang w:val="fr-FR"/>
        </w:rPr>
        <w:t>intéressée à l</w:t>
      </w:r>
      <w:r w:rsidR="00753E56" w:rsidRPr="00753E56">
        <w:rPr>
          <w:rStyle w:val="traduction"/>
          <w:lang w:val="fr-FR"/>
        </w:rPr>
        <w:t>’</w:t>
      </w:r>
      <w:r w:rsidRPr="00753E56">
        <w:rPr>
          <w:rStyle w:val="traduction"/>
          <w:lang w:val="fr-FR"/>
        </w:rPr>
        <w:t>INPDAP fut versé à l</w:t>
      </w:r>
      <w:r w:rsidR="00753E56" w:rsidRPr="00753E56">
        <w:rPr>
          <w:lang w:val="fr-FR"/>
        </w:rPr>
        <w:t>’</w:t>
      </w:r>
      <w:r w:rsidRPr="00753E56">
        <w:rPr>
          <w:lang w:val="fr-FR"/>
        </w:rPr>
        <w:t>Institut national de prévoyance sociale (</w:t>
      </w:r>
      <w:r w:rsidRPr="00753E56">
        <w:rPr>
          <w:rStyle w:val="traduction"/>
          <w:lang w:val="fr-FR"/>
        </w:rPr>
        <w:t xml:space="preserve">INPS) </w:t>
      </w:r>
      <w:r w:rsidRPr="00753E56">
        <w:rPr>
          <w:lang w:val="fr-FR"/>
        </w:rPr>
        <w:t>en vue de la constitution d</w:t>
      </w:r>
      <w:r w:rsidR="00753E56" w:rsidRPr="00753E56">
        <w:rPr>
          <w:lang w:val="fr-FR"/>
        </w:rPr>
        <w:t>’</w:t>
      </w:r>
      <w:r w:rsidRPr="00753E56">
        <w:rPr>
          <w:lang w:val="fr-FR"/>
        </w:rPr>
        <w:t xml:space="preserve">un compte de prévoyance </w:t>
      </w:r>
      <w:r w:rsidRPr="00753E56">
        <w:rPr>
          <w:rStyle w:val="traduction"/>
          <w:lang w:val="fr-FR"/>
        </w:rPr>
        <w:t>(</w:t>
      </w:r>
      <w:r w:rsidRPr="00753E56">
        <w:rPr>
          <w:rStyle w:val="traduction"/>
          <w:i/>
          <w:lang w:val="fr-FR"/>
        </w:rPr>
        <w:t>costituzione della posizione assicurativa</w:t>
      </w:r>
      <w:r w:rsidRPr="00753E56">
        <w:rPr>
          <w:rStyle w:val="traduction"/>
          <w:lang w:val="fr-FR"/>
        </w:rPr>
        <w:t xml:space="preserve">) </w:t>
      </w:r>
      <w:r w:rsidRPr="00753E56">
        <w:rPr>
          <w:lang w:val="fr-FR"/>
        </w:rPr>
        <w:t>dans le cadre du régime de l</w:t>
      </w:r>
      <w:r w:rsidR="00753E56" w:rsidRPr="00753E56">
        <w:rPr>
          <w:lang w:val="fr-FR"/>
        </w:rPr>
        <w:t>’</w:t>
      </w:r>
      <w:r w:rsidRPr="00753E56">
        <w:rPr>
          <w:lang w:val="fr-FR"/>
        </w:rPr>
        <w:t>assurance obligatoire vieillesse-invalidité-survivants.</w:t>
      </w:r>
      <w:r w:rsidRPr="00753E56">
        <w:rPr>
          <w:rStyle w:val="traduction"/>
          <w:lang w:val="fr-FR"/>
        </w:rPr>
        <w:t xml:space="preserve"> Une indemnité de substitution de la pension, d</w:t>
      </w:r>
      <w:r w:rsidR="00753E56" w:rsidRPr="00753E56">
        <w:rPr>
          <w:rStyle w:val="traduction"/>
          <w:lang w:val="fr-FR"/>
        </w:rPr>
        <w:t>’</w:t>
      </w:r>
      <w:r w:rsidRPr="00753E56">
        <w:rPr>
          <w:rStyle w:val="traduction"/>
          <w:lang w:val="fr-FR"/>
        </w:rPr>
        <w:t>un montant de 7 151,68 EUR, destinée à compléter, le cas échéant, les cotisations, fut accordée à la requérante. Cette somme fut utilisée pour la constitution de son compte de prévoyance à l</w:t>
      </w:r>
      <w:r w:rsidR="00753E56" w:rsidRPr="00753E56">
        <w:rPr>
          <w:rStyle w:val="traduction"/>
          <w:lang w:val="fr-FR"/>
        </w:rPr>
        <w:t>’</w:t>
      </w:r>
      <w:r w:rsidRPr="00753E56">
        <w:rPr>
          <w:rStyle w:val="traduction"/>
          <w:lang w:val="fr-FR"/>
        </w:rPr>
        <w:t>INPS et ne bénéficia pas, donc, à la requérante, qui ne put compléter les cotisations. Quant à la différence entre le montant total des cotisations à verser à l</w:t>
      </w:r>
      <w:r w:rsidR="00753E56" w:rsidRPr="00753E56">
        <w:rPr>
          <w:rStyle w:val="traduction"/>
          <w:lang w:val="fr-FR"/>
        </w:rPr>
        <w:t>’</w:t>
      </w:r>
      <w:r w:rsidRPr="00753E56">
        <w:rPr>
          <w:rStyle w:val="traduction"/>
          <w:lang w:val="fr-FR"/>
        </w:rPr>
        <w:t>INPS nécessaires pour la constitution du compte et le montant de l</w:t>
      </w:r>
      <w:r w:rsidR="00753E56" w:rsidRPr="00753E56">
        <w:rPr>
          <w:rStyle w:val="traduction"/>
          <w:lang w:val="fr-FR"/>
        </w:rPr>
        <w:t>’</w:t>
      </w:r>
      <w:r w:rsidRPr="00753E56">
        <w:rPr>
          <w:rStyle w:val="traduction"/>
          <w:lang w:val="fr-FR"/>
        </w:rPr>
        <w:t>indemnité accordée, elle restait à la charge de l</w:t>
      </w:r>
      <w:r w:rsidR="00753E56" w:rsidRPr="00753E56">
        <w:rPr>
          <w:rStyle w:val="traduction"/>
          <w:lang w:val="fr-FR"/>
        </w:rPr>
        <w:t>’</w:t>
      </w:r>
      <w:r w:rsidRPr="00753E56">
        <w:rPr>
          <w:rStyle w:val="traduction"/>
          <w:lang w:val="fr-FR"/>
        </w:rPr>
        <w:t>État. La requérante affirme que, pour obtenir un droit à pension, elle aurait dû alimenter son compte de prévoyance avec des versements volontaires s</w:t>
      </w:r>
      <w:r w:rsidR="00753E56" w:rsidRPr="00753E56">
        <w:rPr>
          <w:rStyle w:val="traduction"/>
          <w:lang w:val="fr-FR"/>
        </w:rPr>
        <w:t>’</w:t>
      </w:r>
      <w:r w:rsidRPr="00753E56">
        <w:rPr>
          <w:rStyle w:val="traduction"/>
          <w:lang w:val="fr-FR"/>
        </w:rPr>
        <w:t>élevant à un total de 20 000 000 LIT (environ 10 300 EUR). Or, à ses dires, elle n</w:t>
      </w:r>
      <w:r w:rsidR="00753E56" w:rsidRPr="00753E56">
        <w:rPr>
          <w:rStyle w:val="traduction"/>
          <w:lang w:val="fr-FR"/>
        </w:rPr>
        <w:t>’</w:t>
      </w:r>
      <w:r w:rsidRPr="00753E56">
        <w:rPr>
          <w:rStyle w:val="traduction"/>
          <w:lang w:val="fr-FR"/>
        </w:rPr>
        <w:t>avait d</w:t>
      </w:r>
      <w:r w:rsidR="00753E56" w:rsidRPr="00753E56">
        <w:rPr>
          <w:rStyle w:val="traduction"/>
          <w:lang w:val="fr-FR"/>
        </w:rPr>
        <w:t>’</w:t>
      </w:r>
      <w:r w:rsidRPr="00753E56">
        <w:rPr>
          <w:rStyle w:val="traduction"/>
          <w:lang w:val="fr-FR"/>
        </w:rPr>
        <w:t>autre revenu que</w:t>
      </w:r>
      <w:r w:rsidRPr="00753E56">
        <w:rPr>
          <w:lang w:val="fr-FR"/>
        </w:rPr>
        <w:t xml:space="preserve"> sa pension de réversion</w:t>
      </w:r>
      <w:r w:rsidRPr="00753E56">
        <w:rPr>
          <w:rStyle w:val="traduction"/>
          <w:lang w:val="fr-FR"/>
        </w:rPr>
        <w:t xml:space="preserve"> et elle avait de plus la charge de son fils, majeur mais sans emploi, et de son ne</w:t>
      </w:r>
      <w:r w:rsidR="00485BF1" w:rsidRPr="00753E56">
        <w:rPr>
          <w:rStyle w:val="traduction"/>
          <w:lang w:val="fr-FR"/>
        </w:rPr>
        <w:t xml:space="preserve">veu, âgé de 13 ans au moment de </w:t>
      </w:r>
      <w:r w:rsidRPr="00753E56">
        <w:rPr>
          <w:rStyle w:val="traduction"/>
          <w:lang w:val="fr-FR"/>
        </w:rPr>
        <w:t>l</w:t>
      </w:r>
      <w:r w:rsidR="00753E56" w:rsidRPr="00753E56">
        <w:rPr>
          <w:rStyle w:val="traduction"/>
          <w:lang w:val="fr-FR"/>
        </w:rPr>
        <w:t>’</w:t>
      </w:r>
      <w:r w:rsidRPr="00753E56">
        <w:rPr>
          <w:rStyle w:val="traduction"/>
          <w:lang w:val="fr-FR"/>
        </w:rPr>
        <w:t>introduction de la requête.</w:t>
      </w:r>
    </w:p>
    <w:p w:rsidR="009A7AB9" w:rsidRPr="00753E56" w:rsidRDefault="009A7AB9" w:rsidP="00753E56">
      <w:pPr>
        <w:pStyle w:val="ECHRHeading2"/>
        <w:rPr>
          <w:lang w:val="fr-FR"/>
        </w:rPr>
      </w:pPr>
      <w:r w:rsidRPr="00753E56">
        <w:rPr>
          <w:lang w:val="fr-FR"/>
        </w:rPr>
        <w:t>B.  Le droit et la pratique internes pertinents</w:t>
      </w:r>
    </w:p>
    <w:p w:rsidR="009A7AB9" w:rsidRPr="00753E56" w:rsidRDefault="009A7AB9" w:rsidP="00753E56">
      <w:pPr>
        <w:pStyle w:val="ECHRHeading3"/>
        <w:rPr>
          <w:lang w:val="fr-FR"/>
        </w:rPr>
      </w:pPr>
      <w:r w:rsidRPr="00753E56">
        <w:rPr>
          <w:lang w:val="fr-FR"/>
        </w:rPr>
        <w:t>1.  La Constitution</w:t>
      </w:r>
    </w:p>
    <w:p w:rsidR="009A7AB9" w:rsidRPr="00753E56" w:rsidRDefault="009A7AB9" w:rsidP="00753E56">
      <w:pPr>
        <w:pStyle w:val="ECHRPara"/>
        <w:rPr>
          <w:lang w:val="fr-FR"/>
        </w:rPr>
      </w:pPr>
      <w:r w:rsidRPr="00753E56">
        <w:rPr>
          <w:lang w:val="fr-FR"/>
        </w:rPr>
        <w:t>5.  Les articles pertinents en l</w:t>
      </w:r>
      <w:r w:rsidR="00753E56" w:rsidRPr="00753E56">
        <w:rPr>
          <w:lang w:val="fr-FR"/>
        </w:rPr>
        <w:t>’</w:t>
      </w:r>
      <w:r w:rsidRPr="00753E56">
        <w:rPr>
          <w:lang w:val="fr-FR"/>
        </w:rPr>
        <w:t>espèce de la Constitution disposent :</w:t>
      </w:r>
    </w:p>
    <w:p w:rsidR="009A7AB9" w:rsidRPr="00753E56" w:rsidRDefault="009A7AB9" w:rsidP="00753E56">
      <w:pPr>
        <w:pStyle w:val="ECHRTitleCentre3"/>
        <w:rPr>
          <w:lang w:val="fr-FR"/>
        </w:rPr>
      </w:pPr>
      <w:r w:rsidRPr="00753E56">
        <w:rPr>
          <w:lang w:val="fr-FR"/>
        </w:rPr>
        <w:t>Article 2</w:t>
      </w:r>
    </w:p>
    <w:p w:rsidR="009A7AB9" w:rsidRPr="00753E56" w:rsidRDefault="009A7AB9" w:rsidP="00753E56">
      <w:pPr>
        <w:pStyle w:val="ECHRParaQuote"/>
        <w:rPr>
          <w:lang w:val="fr-FR"/>
        </w:rPr>
      </w:pPr>
      <w:r w:rsidRPr="00753E56">
        <w:rPr>
          <w:lang w:val="fr-FR"/>
        </w:rPr>
        <w:t>« La République reconnaît et garantit les droits inviolables de l</w:t>
      </w:r>
      <w:r w:rsidR="00753E56" w:rsidRPr="00753E56">
        <w:rPr>
          <w:lang w:val="fr-FR"/>
        </w:rPr>
        <w:t>’</w:t>
      </w:r>
      <w:r w:rsidRPr="00753E56">
        <w:rPr>
          <w:lang w:val="fr-FR"/>
        </w:rPr>
        <w:t>homme tant comme individu que comme membre de formations sociales où se développe sa personnalité, et exige l</w:t>
      </w:r>
      <w:r w:rsidR="00753E56" w:rsidRPr="00753E56">
        <w:rPr>
          <w:lang w:val="fr-FR"/>
        </w:rPr>
        <w:t>’</w:t>
      </w:r>
      <w:r w:rsidRPr="00753E56">
        <w:rPr>
          <w:lang w:val="fr-FR"/>
        </w:rPr>
        <w:t>accomplissement des devoirs imprescriptibles de solidarité politique, économique et sociale. »</w:t>
      </w:r>
    </w:p>
    <w:p w:rsidR="009A7AB9" w:rsidRPr="00753E56" w:rsidRDefault="009A7AB9" w:rsidP="00753E56">
      <w:pPr>
        <w:pStyle w:val="ECHRTitleCentre3"/>
        <w:rPr>
          <w:lang w:val="fr-FR"/>
        </w:rPr>
      </w:pPr>
      <w:r w:rsidRPr="00753E56">
        <w:rPr>
          <w:lang w:val="fr-FR"/>
        </w:rPr>
        <w:lastRenderedPageBreak/>
        <w:t>Article 38</w:t>
      </w:r>
    </w:p>
    <w:p w:rsidR="009A7AB9" w:rsidRPr="00753E56" w:rsidRDefault="009A7AB9" w:rsidP="00753E56">
      <w:pPr>
        <w:pStyle w:val="ECHRParaQuote"/>
        <w:rPr>
          <w:lang w:val="fr-FR"/>
        </w:rPr>
      </w:pPr>
      <w:r w:rsidRPr="00753E56">
        <w:rPr>
          <w:lang w:val="fr-FR"/>
        </w:rPr>
        <w:t>« Tout citoyen inapte au travail et dépourvu de moyens d</w:t>
      </w:r>
      <w:r w:rsidR="00753E56" w:rsidRPr="00753E56">
        <w:rPr>
          <w:lang w:val="fr-FR"/>
        </w:rPr>
        <w:t>’</w:t>
      </w:r>
      <w:r w:rsidRPr="00753E56">
        <w:rPr>
          <w:lang w:val="fr-FR"/>
        </w:rPr>
        <w:t>existence a droit à des moyens de subsistance et à l</w:t>
      </w:r>
      <w:r w:rsidR="00753E56" w:rsidRPr="00753E56">
        <w:rPr>
          <w:lang w:val="fr-FR"/>
        </w:rPr>
        <w:t>’</w:t>
      </w:r>
      <w:r w:rsidRPr="00753E56">
        <w:rPr>
          <w:lang w:val="fr-FR"/>
        </w:rPr>
        <w:t>assistance sociale.</w:t>
      </w:r>
    </w:p>
    <w:p w:rsidR="009A7AB9" w:rsidRPr="00753E56" w:rsidRDefault="009A7AB9" w:rsidP="00753E56">
      <w:pPr>
        <w:pStyle w:val="ECHRParaQuote"/>
        <w:rPr>
          <w:lang w:val="fr-FR"/>
        </w:rPr>
      </w:pPr>
      <w:r w:rsidRPr="00753E56">
        <w:rPr>
          <w:lang w:val="fr-FR"/>
        </w:rPr>
        <w:t>Les travailleurs ont droit à ce que des moyens d</w:t>
      </w:r>
      <w:r w:rsidR="00753E56" w:rsidRPr="00753E56">
        <w:rPr>
          <w:lang w:val="fr-FR"/>
        </w:rPr>
        <w:t>’</w:t>
      </w:r>
      <w:r w:rsidRPr="00753E56">
        <w:rPr>
          <w:lang w:val="fr-FR"/>
        </w:rPr>
        <w:t>existence adaptés à leurs besoins vitaux soient prévus et assurés en cas d</w:t>
      </w:r>
      <w:r w:rsidR="00753E56" w:rsidRPr="00753E56">
        <w:rPr>
          <w:lang w:val="fr-FR"/>
        </w:rPr>
        <w:t>’</w:t>
      </w:r>
      <w:r w:rsidRPr="00753E56">
        <w:rPr>
          <w:lang w:val="fr-FR"/>
        </w:rPr>
        <w:t>accident du travail, de maladie, d</w:t>
      </w:r>
      <w:r w:rsidR="00753E56" w:rsidRPr="00753E56">
        <w:rPr>
          <w:lang w:val="fr-FR"/>
        </w:rPr>
        <w:t>’</w:t>
      </w:r>
      <w:r w:rsidRPr="00753E56">
        <w:rPr>
          <w:lang w:val="fr-FR"/>
        </w:rPr>
        <w:t>invalidité, de vieillesse et de chômage involontaire.</w:t>
      </w:r>
    </w:p>
    <w:p w:rsidR="009A7AB9" w:rsidRPr="00753E56" w:rsidRDefault="009A7AB9" w:rsidP="00753E56">
      <w:pPr>
        <w:pStyle w:val="ECHRParaQuote"/>
        <w:rPr>
          <w:lang w:val="fr-FR"/>
        </w:rPr>
      </w:pPr>
      <w:r w:rsidRPr="00753E56">
        <w:rPr>
          <w:lang w:val="fr-FR"/>
        </w:rPr>
        <w:t>Les personnes inaptes au travail et les personnes handicapées ont droit à l</w:t>
      </w:r>
      <w:r w:rsidR="00753E56" w:rsidRPr="00753E56">
        <w:rPr>
          <w:lang w:val="fr-FR"/>
        </w:rPr>
        <w:t>’</w:t>
      </w:r>
      <w:r w:rsidRPr="00753E56">
        <w:rPr>
          <w:lang w:val="fr-FR"/>
        </w:rPr>
        <w:t>éducation et à la formation professionnelle.</w:t>
      </w:r>
    </w:p>
    <w:p w:rsidR="009A7AB9" w:rsidRPr="00753E56" w:rsidRDefault="009A7AB9" w:rsidP="00753E56">
      <w:pPr>
        <w:pStyle w:val="ECHRParaQuote"/>
        <w:rPr>
          <w:lang w:val="fr-FR"/>
        </w:rPr>
      </w:pPr>
      <w:r w:rsidRPr="00753E56">
        <w:rPr>
          <w:lang w:val="fr-FR"/>
        </w:rPr>
        <w:t>Des organismes et des institutions créés ou subventionnés par l</w:t>
      </w:r>
      <w:r w:rsidR="00753E56" w:rsidRPr="00753E56">
        <w:rPr>
          <w:lang w:val="fr-FR"/>
        </w:rPr>
        <w:t>’</w:t>
      </w:r>
      <w:r w:rsidRPr="00753E56">
        <w:rPr>
          <w:rFonts w:cstheme="minorHAnsi"/>
          <w:lang w:val="fr-FR"/>
        </w:rPr>
        <w:t>É</w:t>
      </w:r>
      <w:r w:rsidRPr="00753E56">
        <w:rPr>
          <w:lang w:val="fr-FR"/>
        </w:rPr>
        <w:t>tat pourvoient aux obligations posées par le présent article.</w:t>
      </w:r>
    </w:p>
    <w:p w:rsidR="009A7AB9" w:rsidRPr="00753E56" w:rsidRDefault="009A7AB9" w:rsidP="00753E56">
      <w:pPr>
        <w:pStyle w:val="ECHRParaQuote"/>
        <w:rPr>
          <w:lang w:val="fr-FR"/>
        </w:rPr>
      </w:pPr>
      <w:r w:rsidRPr="00753E56">
        <w:rPr>
          <w:lang w:val="fr-FR"/>
        </w:rPr>
        <w:t>(...) »</w:t>
      </w:r>
    </w:p>
    <w:p w:rsidR="009A7AB9" w:rsidRPr="00753E56" w:rsidRDefault="009A7AB9" w:rsidP="00753E56">
      <w:pPr>
        <w:pStyle w:val="ECHRHeading3"/>
        <w:rPr>
          <w:lang w:val="fr-FR"/>
        </w:rPr>
      </w:pPr>
      <w:r w:rsidRPr="00753E56">
        <w:rPr>
          <w:lang w:val="fr-FR"/>
        </w:rPr>
        <w:t xml:space="preserve">2.  Le décret du Président de la République (DPR) </w:t>
      </w:r>
      <w:r w:rsidRPr="00753E56">
        <w:rPr>
          <w:szCs w:val="24"/>
          <w:lang w:val="fr-FR"/>
        </w:rPr>
        <w:t>n</w:t>
      </w:r>
      <w:r w:rsidRPr="00753E56">
        <w:rPr>
          <w:szCs w:val="24"/>
          <w:vertAlign w:val="superscript"/>
          <w:lang w:val="fr-FR"/>
        </w:rPr>
        <w:t>o</w:t>
      </w:r>
      <w:r w:rsidRPr="00753E56">
        <w:rPr>
          <w:lang w:val="fr-FR"/>
        </w:rPr>
        <w:t> 1092 du 29 décembre 1973</w:t>
      </w:r>
    </w:p>
    <w:p w:rsidR="009A7AB9" w:rsidRPr="00753E56" w:rsidRDefault="009A7AB9" w:rsidP="00753E56">
      <w:pPr>
        <w:pStyle w:val="ECHRPara"/>
        <w:rPr>
          <w:lang w:val="fr-FR"/>
        </w:rPr>
      </w:pPr>
      <w:r w:rsidRPr="00753E56">
        <w:rPr>
          <w:lang w:val="fr-FR"/>
        </w:rPr>
        <w:t xml:space="preserve">6.  Le décret du Président de la République (DPR) </w:t>
      </w:r>
      <w:r w:rsidRPr="00753E56">
        <w:rPr>
          <w:szCs w:val="24"/>
          <w:lang w:val="fr-FR"/>
        </w:rPr>
        <w:t>n</w:t>
      </w:r>
      <w:r w:rsidRPr="00753E56">
        <w:rPr>
          <w:szCs w:val="24"/>
          <w:vertAlign w:val="superscript"/>
          <w:lang w:val="fr-FR"/>
        </w:rPr>
        <w:t>o</w:t>
      </w:r>
      <w:r w:rsidR="002D5E24" w:rsidRPr="00753E56">
        <w:rPr>
          <w:lang w:val="fr-FR"/>
        </w:rPr>
        <w:t> 1092 du 29 </w:t>
      </w:r>
      <w:r w:rsidRPr="00753E56">
        <w:rPr>
          <w:lang w:val="fr-FR"/>
        </w:rPr>
        <w:t>décembre 1973, portant approbation du texte unique de règlement d</w:t>
      </w:r>
      <w:r w:rsidR="00753E56" w:rsidRPr="00753E56">
        <w:rPr>
          <w:lang w:val="fr-FR"/>
        </w:rPr>
        <w:t>’</w:t>
      </w:r>
      <w:r w:rsidRPr="00753E56">
        <w:rPr>
          <w:lang w:val="fr-FR"/>
        </w:rPr>
        <w:t>exécution du régime de retraite des employés civils et militaires de l</w:t>
      </w:r>
      <w:r w:rsidR="00753E56" w:rsidRPr="00753E56">
        <w:rPr>
          <w:lang w:val="fr-FR"/>
        </w:rPr>
        <w:t>’</w:t>
      </w:r>
      <w:r w:rsidRPr="00753E56">
        <w:rPr>
          <w:rFonts w:cstheme="minorHAnsi"/>
          <w:lang w:val="fr-FR"/>
        </w:rPr>
        <w:t>É</w:t>
      </w:r>
      <w:r w:rsidRPr="00753E56">
        <w:rPr>
          <w:lang w:val="fr-FR"/>
        </w:rPr>
        <w:t>tat (</w:t>
      </w:r>
      <w:r w:rsidRPr="00753E56">
        <w:rPr>
          <w:i/>
          <w:lang w:val="fr-FR"/>
        </w:rPr>
        <w:t>Testo unico delle norme sul trattamento di quiescenza dei dipendenti civili e militari dello Stato</w:t>
      </w:r>
      <w:r w:rsidRPr="00753E56">
        <w:rPr>
          <w:lang w:val="fr-FR"/>
        </w:rPr>
        <w:t>), est libellé comme suit dans ses dispositions pertinentes en l</w:t>
      </w:r>
      <w:r w:rsidR="00753E56" w:rsidRPr="00753E56">
        <w:rPr>
          <w:lang w:val="fr-FR"/>
        </w:rPr>
        <w:t>’</w:t>
      </w:r>
      <w:r w:rsidRPr="00753E56">
        <w:rPr>
          <w:lang w:val="fr-FR"/>
        </w:rPr>
        <w:t>espèce :</w:t>
      </w:r>
    </w:p>
    <w:p w:rsidR="009A7AB9" w:rsidRPr="00753E56" w:rsidRDefault="009A7AB9" w:rsidP="00753E56">
      <w:pPr>
        <w:pStyle w:val="ECHRTitleCentre3"/>
        <w:rPr>
          <w:lang w:val="fr-FR"/>
        </w:rPr>
      </w:pPr>
      <w:r w:rsidRPr="00753E56">
        <w:rPr>
          <w:lang w:val="fr-FR"/>
        </w:rPr>
        <w:t>Article 42 (Droit au traitement normal)</w:t>
      </w:r>
    </w:p>
    <w:p w:rsidR="009A7AB9" w:rsidRPr="00753E56" w:rsidRDefault="009A7AB9" w:rsidP="00753E56">
      <w:pPr>
        <w:pStyle w:val="ECHRParaQuote"/>
        <w:rPr>
          <w:lang w:val="fr-FR"/>
        </w:rPr>
      </w:pPr>
      <w:r w:rsidRPr="00753E56">
        <w:rPr>
          <w:lang w:val="fr-FR"/>
        </w:rPr>
        <w:t>« Le fonctionnaire qui a atteint l</w:t>
      </w:r>
      <w:r w:rsidR="00753E56" w:rsidRPr="00753E56">
        <w:rPr>
          <w:lang w:val="fr-FR"/>
        </w:rPr>
        <w:t>’</w:t>
      </w:r>
      <w:r w:rsidRPr="00753E56">
        <w:rPr>
          <w:lang w:val="fr-FR"/>
        </w:rPr>
        <w:t>âge limite [de départ à la retraite] a droit à la pension normale s</w:t>
      </w:r>
      <w:r w:rsidR="00753E56" w:rsidRPr="00753E56">
        <w:rPr>
          <w:lang w:val="fr-FR"/>
        </w:rPr>
        <w:t>’</w:t>
      </w:r>
      <w:r w:rsidRPr="00753E56">
        <w:rPr>
          <w:lang w:val="fr-FR"/>
        </w:rPr>
        <w:t>il a travaillé pendant quinze ans.</w:t>
      </w:r>
    </w:p>
    <w:p w:rsidR="009A7AB9" w:rsidRPr="00753E56" w:rsidRDefault="009A7AB9" w:rsidP="00753E56">
      <w:pPr>
        <w:pStyle w:val="ECHRParaQuote"/>
        <w:rPr>
          <w:lang w:val="fr-FR"/>
        </w:rPr>
      </w:pPr>
      <w:r w:rsidRPr="00753E56">
        <w:rPr>
          <w:lang w:val="fr-FR"/>
        </w:rPr>
        <w:t>Les personnes qui n</w:t>
      </w:r>
      <w:r w:rsidR="00753E56" w:rsidRPr="00753E56">
        <w:rPr>
          <w:lang w:val="fr-FR"/>
        </w:rPr>
        <w:t>’</w:t>
      </w:r>
      <w:r w:rsidRPr="00753E56">
        <w:rPr>
          <w:lang w:val="fr-FR"/>
        </w:rPr>
        <w:t>ont pas acquis un droit (...) à pension ont droit à une indemnité octroyée une seule fois (</w:t>
      </w:r>
      <w:r w:rsidRPr="00753E56">
        <w:rPr>
          <w:i/>
          <w:lang w:val="fr-FR"/>
        </w:rPr>
        <w:t>una tantum</w:t>
      </w:r>
      <w:r w:rsidRPr="00753E56">
        <w:rPr>
          <w:lang w:val="fr-FR"/>
        </w:rPr>
        <w:t>) si elles ont</w:t>
      </w:r>
      <w:r w:rsidRPr="00753E56">
        <w:rPr>
          <w:i/>
          <w:lang w:val="fr-FR"/>
        </w:rPr>
        <w:t xml:space="preserve"> </w:t>
      </w:r>
      <w:r w:rsidRPr="00753E56">
        <w:rPr>
          <w:lang w:val="fr-FR"/>
        </w:rPr>
        <w:t>travaillé au moins un an. »</w:t>
      </w:r>
    </w:p>
    <w:p w:rsidR="009A7AB9" w:rsidRPr="00753E56" w:rsidRDefault="009A7AB9" w:rsidP="00753E56">
      <w:pPr>
        <w:pStyle w:val="ECHRTitleCentre3"/>
        <w:rPr>
          <w:lang w:val="fr-FR"/>
        </w:rPr>
      </w:pPr>
      <w:r w:rsidRPr="00753E56">
        <w:rPr>
          <w:lang w:val="fr-FR"/>
        </w:rPr>
        <w:t>Article 44 (Évaluation du traitement normal)</w:t>
      </w:r>
    </w:p>
    <w:p w:rsidR="009A7AB9" w:rsidRPr="00753E56" w:rsidRDefault="009A7AB9" w:rsidP="00753E56">
      <w:pPr>
        <w:pStyle w:val="ECHRParaQuote"/>
        <w:rPr>
          <w:lang w:val="fr-FR"/>
        </w:rPr>
      </w:pPr>
      <w:r w:rsidRPr="00753E56">
        <w:rPr>
          <w:lang w:val="fr-FR"/>
        </w:rPr>
        <w:t>« L</w:t>
      </w:r>
      <w:r w:rsidR="00753E56" w:rsidRPr="00753E56">
        <w:rPr>
          <w:lang w:val="fr-FR"/>
        </w:rPr>
        <w:t>’</w:t>
      </w:r>
      <w:r w:rsidRPr="00753E56">
        <w:rPr>
          <w:lang w:val="fr-FR"/>
        </w:rPr>
        <w:t xml:space="preserve">indemnité </w:t>
      </w:r>
      <w:r w:rsidRPr="00753E56">
        <w:rPr>
          <w:i/>
          <w:lang w:val="fr-FR"/>
        </w:rPr>
        <w:t>una tantum</w:t>
      </w:r>
      <w:r w:rsidRPr="00753E56">
        <w:rPr>
          <w:lang w:val="fr-FR"/>
        </w:rPr>
        <w:t xml:space="preserve"> équivaut à un douzième du traitement servant de base de calcul (</w:t>
      </w:r>
      <w:r w:rsidRPr="00753E56">
        <w:rPr>
          <w:i/>
          <w:lang w:val="fr-FR"/>
        </w:rPr>
        <w:t>base pensionabile</w:t>
      </w:r>
      <w:r w:rsidRPr="00753E56">
        <w:rPr>
          <w:lang w:val="fr-FR"/>
        </w:rPr>
        <w:t>) multiplié par le nombre d</w:t>
      </w:r>
      <w:r w:rsidR="00753E56" w:rsidRPr="00753E56">
        <w:rPr>
          <w:lang w:val="fr-FR"/>
        </w:rPr>
        <w:t>’</w:t>
      </w:r>
      <w:r w:rsidRPr="00753E56">
        <w:rPr>
          <w:lang w:val="fr-FR"/>
        </w:rPr>
        <w:t>années de service. »</w:t>
      </w:r>
    </w:p>
    <w:p w:rsidR="009A7AB9" w:rsidRPr="00753E56" w:rsidRDefault="009A7AB9" w:rsidP="00753E56">
      <w:pPr>
        <w:pStyle w:val="ECHRTitleCentre3"/>
        <w:rPr>
          <w:lang w:val="fr-FR"/>
        </w:rPr>
      </w:pPr>
      <w:r w:rsidRPr="00753E56">
        <w:rPr>
          <w:lang w:val="fr-FR"/>
        </w:rPr>
        <w:t>Article 124 (Constitution du compte de prévoyance)</w:t>
      </w:r>
    </w:p>
    <w:p w:rsidR="009A7AB9" w:rsidRPr="00753E56" w:rsidRDefault="009A7AB9" w:rsidP="00753E56">
      <w:pPr>
        <w:pStyle w:val="ECHRParaQuote"/>
        <w:rPr>
          <w:lang w:val="fr-FR"/>
        </w:rPr>
      </w:pPr>
      <w:r w:rsidRPr="00753E56">
        <w:rPr>
          <w:lang w:val="fr-FR"/>
        </w:rPr>
        <w:t>« Au cas où le fonctionnaire (...) cesse d</w:t>
      </w:r>
      <w:r w:rsidR="00753E56" w:rsidRPr="00753E56">
        <w:rPr>
          <w:lang w:val="fr-FR"/>
        </w:rPr>
        <w:t>’</w:t>
      </w:r>
      <w:r w:rsidRPr="00753E56">
        <w:rPr>
          <w:lang w:val="fr-FR"/>
        </w:rPr>
        <w:t>exercer ses fonctions sans avoir obtenu un droit à pension faute d</w:t>
      </w:r>
      <w:r w:rsidR="00753E56" w:rsidRPr="00753E56">
        <w:rPr>
          <w:lang w:val="fr-FR"/>
        </w:rPr>
        <w:t>’</w:t>
      </w:r>
      <w:r w:rsidRPr="00753E56">
        <w:rPr>
          <w:lang w:val="fr-FR"/>
        </w:rPr>
        <w:t>avoir cotisé pendant un nombre suffisant d</w:t>
      </w:r>
      <w:r w:rsidR="00753E56" w:rsidRPr="00753E56">
        <w:rPr>
          <w:lang w:val="fr-FR"/>
        </w:rPr>
        <w:t>’</w:t>
      </w:r>
      <w:r w:rsidRPr="00753E56">
        <w:rPr>
          <w:lang w:val="fr-FR"/>
        </w:rPr>
        <w:t>années, il doit se constituer un compte de prévoyance (</w:t>
      </w:r>
      <w:r w:rsidRPr="00753E56">
        <w:rPr>
          <w:i/>
          <w:lang w:val="fr-FR"/>
        </w:rPr>
        <w:t>costituzione della posizione assicurativa</w:t>
      </w:r>
      <w:r w:rsidRPr="00753E56">
        <w:rPr>
          <w:lang w:val="fr-FR"/>
        </w:rPr>
        <w:t>) dans le cadre du régime de l</w:t>
      </w:r>
      <w:r w:rsidR="00753E56" w:rsidRPr="00753E56">
        <w:rPr>
          <w:lang w:val="fr-FR"/>
        </w:rPr>
        <w:t>’</w:t>
      </w:r>
      <w:r w:rsidRPr="00753E56">
        <w:rPr>
          <w:lang w:val="fr-FR"/>
        </w:rPr>
        <w:t>assurance obligatoire invalidité-vieillesse-survivants à l</w:t>
      </w:r>
      <w:r w:rsidR="00753E56" w:rsidRPr="00753E56">
        <w:rPr>
          <w:lang w:val="fr-FR"/>
        </w:rPr>
        <w:t>’</w:t>
      </w:r>
      <w:r w:rsidRPr="00753E56">
        <w:rPr>
          <w:lang w:val="fr-FR"/>
        </w:rPr>
        <w:t>Institut national de la prévoyance sociale (INPS) pour la période correspondant aux années de service.</w:t>
      </w:r>
    </w:p>
    <w:p w:rsidR="009A7AB9" w:rsidRPr="00753E56" w:rsidRDefault="009A7AB9" w:rsidP="00753E56">
      <w:pPr>
        <w:pStyle w:val="ECHRParaQuote"/>
        <w:rPr>
          <w:lang w:val="fr-FR"/>
        </w:rPr>
      </w:pPr>
      <w:r w:rsidRPr="00753E56">
        <w:rPr>
          <w:lang w:val="fr-FR"/>
        </w:rPr>
        <w:t>Aux fins de la constitution du compte [de prévoyance] à l</w:t>
      </w:r>
      <w:r w:rsidR="00753E56" w:rsidRPr="00753E56">
        <w:rPr>
          <w:lang w:val="fr-FR"/>
        </w:rPr>
        <w:t>’</w:t>
      </w:r>
      <w:r w:rsidRPr="00753E56">
        <w:rPr>
          <w:lang w:val="fr-FR"/>
        </w:rPr>
        <w:t>INPS, l</w:t>
      </w:r>
      <w:r w:rsidR="00753E56" w:rsidRPr="00753E56">
        <w:rPr>
          <w:lang w:val="fr-FR"/>
        </w:rPr>
        <w:t>’</w:t>
      </w:r>
      <w:r w:rsidRPr="00753E56">
        <w:rPr>
          <w:lang w:val="fr-FR"/>
        </w:rPr>
        <w:t xml:space="preserve">indemnité </w:t>
      </w:r>
      <w:r w:rsidRPr="00753E56">
        <w:rPr>
          <w:i/>
          <w:lang w:val="fr-FR"/>
        </w:rPr>
        <w:t xml:space="preserve">una tantum </w:t>
      </w:r>
      <w:r w:rsidRPr="00753E56">
        <w:rPr>
          <w:lang w:val="fr-FR"/>
        </w:rPr>
        <w:t>est déduite du montant des cotisations à verser. La part restante est à la charge de l</w:t>
      </w:r>
      <w:r w:rsidR="00753E56" w:rsidRPr="00753E56">
        <w:rPr>
          <w:lang w:val="fr-FR"/>
        </w:rPr>
        <w:t>’</w:t>
      </w:r>
      <w:r w:rsidRPr="00753E56">
        <w:rPr>
          <w:rFonts w:cstheme="minorHAnsi"/>
          <w:lang w:val="fr-FR"/>
        </w:rPr>
        <w:t>É</w:t>
      </w:r>
      <w:r w:rsidRPr="00753E56">
        <w:rPr>
          <w:lang w:val="fr-FR"/>
        </w:rPr>
        <w:t>tat.</w:t>
      </w:r>
    </w:p>
    <w:p w:rsidR="009A7AB9" w:rsidRPr="00753E56" w:rsidRDefault="009A7AB9" w:rsidP="00753E56">
      <w:pPr>
        <w:pStyle w:val="ECHRParaQuote"/>
        <w:rPr>
          <w:lang w:val="fr-FR"/>
        </w:rPr>
      </w:pPr>
      <w:r w:rsidRPr="00753E56">
        <w:rPr>
          <w:lang w:val="fr-FR"/>
        </w:rPr>
        <w:t>(...) »</w:t>
      </w:r>
    </w:p>
    <w:p w:rsidR="009A7AB9" w:rsidRPr="00753E56" w:rsidRDefault="009A7AB9" w:rsidP="00753E56">
      <w:pPr>
        <w:pStyle w:val="ECHRHeading3"/>
        <w:rPr>
          <w:lang w:val="fr-FR"/>
        </w:rPr>
      </w:pPr>
      <w:r w:rsidRPr="00753E56">
        <w:rPr>
          <w:lang w:val="fr-FR"/>
        </w:rPr>
        <w:lastRenderedPageBreak/>
        <w:t xml:space="preserve">3.  La loi </w:t>
      </w:r>
      <w:r w:rsidRPr="00753E56">
        <w:rPr>
          <w:szCs w:val="24"/>
          <w:lang w:val="fr-FR"/>
        </w:rPr>
        <w:t>n</w:t>
      </w:r>
      <w:r w:rsidRPr="00753E56">
        <w:rPr>
          <w:szCs w:val="24"/>
          <w:vertAlign w:val="superscript"/>
          <w:lang w:val="fr-FR"/>
        </w:rPr>
        <w:t>o</w:t>
      </w:r>
      <w:r w:rsidRPr="00753E56">
        <w:rPr>
          <w:lang w:val="fr-FR"/>
        </w:rPr>
        <w:t xml:space="preserve"> 322 du 2 avril 1958, telle que modifiée par l</w:t>
      </w:r>
      <w:r w:rsidR="00753E56" w:rsidRPr="00753E56">
        <w:rPr>
          <w:lang w:val="fr-FR"/>
        </w:rPr>
        <w:t>’</w:t>
      </w:r>
      <w:r w:rsidRPr="00753E56">
        <w:rPr>
          <w:lang w:val="fr-FR"/>
        </w:rPr>
        <w:t xml:space="preserve">article 52 de la loi </w:t>
      </w:r>
      <w:r w:rsidRPr="00753E56">
        <w:rPr>
          <w:szCs w:val="24"/>
          <w:lang w:val="fr-FR"/>
        </w:rPr>
        <w:t>n</w:t>
      </w:r>
      <w:r w:rsidRPr="00753E56">
        <w:rPr>
          <w:szCs w:val="24"/>
          <w:vertAlign w:val="superscript"/>
          <w:lang w:val="fr-FR"/>
        </w:rPr>
        <w:t>o</w:t>
      </w:r>
      <w:r w:rsidRPr="00753E56">
        <w:rPr>
          <w:lang w:val="fr-FR"/>
        </w:rPr>
        <w:t xml:space="preserve"> 153 du 30 avril 1969</w:t>
      </w:r>
    </w:p>
    <w:p w:rsidR="009A7AB9" w:rsidRPr="00753E56" w:rsidRDefault="009A7AB9" w:rsidP="00753E56">
      <w:pPr>
        <w:pStyle w:val="ECHRPara"/>
        <w:ind w:firstLine="0"/>
        <w:rPr>
          <w:lang w:val="fr-FR"/>
        </w:rPr>
      </w:pPr>
      <w:r w:rsidRPr="00753E56">
        <w:rPr>
          <w:lang w:val="fr-FR"/>
        </w:rPr>
        <w:t xml:space="preserve">7.  La loi </w:t>
      </w:r>
      <w:r w:rsidRPr="00753E56">
        <w:rPr>
          <w:szCs w:val="24"/>
          <w:lang w:val="fr-FR"/>
        </w:rPr>
        <w:t>n</w:t>
      </w:r>
      <w:r w:rsidRPr="00753E56">
        <w:rPr>
          <w:szCs w:val="24"/>
          <w:vertAlign w:val="superscript"/>
          <w:lang w:val="fr-FR"/>
        </w:rPr>
        <w:t>o</w:t>
      </w:r>
      <w:r w:rsidRPr="00753E56">
        <w:rPr>
          <w:lang w:val="fr-FR"/>
        </w:rPr>
        <w:t xml:space="preserve"> 322 du 2 avril 1958, telle que modifiée par l</w:t>
      </w:r>
      <w:r w:rsidR="00753E56" w:rsidRPr="00753E56">
        <w:rPr>
          <w:lang w:val="fr-FR"/>
        </w:rPr>
        <w:t>’</w:t>
      </w:r>
      <w:r w:rsidR="002D5E24" w:rsidRPr="00753E56">
        <w:rPr>
          <w:lang w:val="fr-FR"/>
        </w:rPr>
        <w:t xml:space="preserve">article 52 de la loi </w:t>
      </w:r>
      <w:r w:rsidRPr="00753E56">
        <w:rPr>
          <w:lang w:val="fr-FR"/>
        </w:rPr>
        <w:t>n</w:t>
      </w:r>
      <w:r w:rsidRPr="00753E56">
        <w:rPr>
          <w:vertAlign w:val="superscript"/>
          <w:lang w:val="fr-FR"/>
        </w:rPr>
        <w:t>o</w:t>
      </w:r>
      <w:r w:rsidRPr="00753E56">
        <w:rPr>
          <w:lang w:val="fr-FR"/>
        </w:rPr>
        <w:t> 153 du 30 avril 1969, relative à la jonction des comptes de prévoyance aux fins de vérifier l</w:t>
      </w:r>
      <w:r w:rsidR="00753E56" w:rsidRPr="00753E56">
        <w:rPr>
          <w:lang w:val="fr-FR"/>
        </w:rPr>
        <w:t>’</w:t>
      </w:r>
      <w:r w:rsidRPr="00753E56">
        <w:rPr>
          <w:lang w:val="fr-FR"/>
        </w:rPr>
        <w:t>existence du droit à pension et d</w:t>
      </w:r>
      <w:r w:rsidR="00753E56" w:rsidRPr="00753E56">
        <w:rPr>
          <w:lang w:val="fr-FR"/>
        </w:rPr>
        <w:t>’</w:t>
      </w:r>
      <w:r w:rsidRPr="00753E56">
        <w:rPr>
          <w:lang w:val="fr-FR"/>
        </w:rPr>
        <w:t>en fixer les modalités (</w:t>
      </w:r>
      <w:r w:rsidRPr="00753E56">
        <w:rPr>
          <w:i/>
          <w:lang w:val="fr-FR"/>
        </w:rPr>
        <w:t>Ricongiunzione delle posizioni previdenziali ai fini dell</w:t>
      </w:r>
      <w:r w:rsidR="00753E56" w:rsidRPr="00753E56">
        <w:rPr>
          <w:i/>
          <w:lang w:val="fr-FR"/>
        </w:rPr>
        <w:t>’</w:t>
      </w:r>
      <w:r w:rsidRPr="00753E56">
        <w:rPr>
          <w:i/>
          <w:lang w:val="fr-FR"/>
        </w:rPr>
        <w:t>accertamento del diritto e della determinazione del trattamento di previdenza e di quiescenza</w:t>
      </w:r>
      <w:r w:rsidRPr="00753E56">
        <w:rPr>
          <w:lang w:val="fr-FR"/>
        </w:rPr>
        <w:t>), dispose :</w:t>
      </w:r>
    </w:p>
    <w:p w:rsidR="009A7AB9" w:rsidRPr="00753E56" w:rsidRDefault="009A7AB9" w:rsidP="00753E56">
      <w:pPr>
        <w:pStyle w:val="ECHRTitleCentre3"/>
        <w:rPr>
          <w:lang w:val="fr-FR"/>
        </w:rPr>
      </w:pPr>
      <w:r w:rsidRPr="00753E56">
        <w:rPr>
          <w:lang w:val="fr-FR"/>
        </w:rPr>
        <w:t>Article unique</w:t>
      </w:r>
    </w:p>
    <w:p w:rsidR="009A7AB9" w:rsidRPr="00753E56" w:rsidRDefault="009A7AB9" w:rsidP="00753E56">
      <w:pPr>
        <w:pStyle w:val="ECHRParaQuote"/>
        <w:rPr>
          <w:lang w:val="fr-FR"/>
        </w:rPr>
      </w:pPr>
      <w:r w:rsidRPr="00753E56">
        <w:rPr>
          <w:lang w:val="fr-FR"/>
        </w:rPr>
        <w:t>« Pour les travailleurs inscrits à des caisses de prévoyance de substitution de l</w:t>
      </w:r>
      <w:r w:rsidR="00753E56" w:rsidRPr="00753E56">
        <w:rPr>
          <w:lang w:val="fr-FR"/>
        </w:rPr>
        <w:t>’</w:t>
      </w:r>
      <w:r w:rsidRPr="00753E56">
        <w:rPr>
          <w:lang w:val="fr-FR"/>
        </w:rPr>
        <w:t>assurance générale vieillesse-invalidité-survivants qui atteignent l</w:t>
      </w:r>
      <w:r w:rsidR="00753E56" w:rsidRPr="00753E56">
        <w:rPr>
          <w:lang w:val="fr-FR"/>
        </w:rPr>
        <w:t>’</w:t>
      </w:r>
      <w:r w:rsidRPr="00753E56">
        <w:rPr>
          <w:lang w:val="fr-FR"/>
        </w:rPr>
        <w:t>âge limite de départ à la retraite sans obtenir un droit à pension, un compte de prévoyance dans le cadre du régime de l</w:t>
      </w:r>
      <w:r w:rsidR="00753E56" w:rsidRPr="00753E56">
        <w:rPr>
          <w:lang w:val="fr-FR"/>
        </w:rPr>
        <w:t>’</w:t>
      </w:r>
      <w:r w:rsidRPr="00753E56">
        <w:rPr>
          <w:lang w:val="fr-FR"/>
        </w:rPr>
        <w:t>assurance obligatoire vieillesse-invalidité-survivants est constitué au moyen du versement de cotisations déterminées selon les critères établis pour le système de la prévoyance de substitution (...) »</w:t>
      </w:r>
    </w:p>
    <w:p w:rsidR="009A7AB9" w:rsidRPr="00753E56" w:rsidRDefault="009A7AB9" w:rsidP="00753E56">
      <w:pPr>
        <w:pStyle w:val="ECHRPara"/>
        <w:rPr>
          <w:lang w:val="fr-FR"/>
        </w:rPr>
      </w:pPr>
      <w:r w:rsidRPr="00753E56">
        <w:rPr>
          <w:lang w:val="fr-FR"/>
        </w:rPr>
        <w:t>8.  L</w:t>
      </w:r>
      <w:r w:rsidR="00753E56" w:rsidRPr="00753E56">
        <w:rPr>
          <w:lang w:val="fr-FR"/>
        </w:rPr>
        <w:t>’</w:t>
      </w:r>
      <w:r w:rsidRPr="00753E56">
        <w:rPr>
          <w:lang w:val="fr-FR"/>
        </w:rPr>
        <w:t xml:space="preserve">article 12 § 12 </w:t>
      </w:r>
      <w:r w:rsidRPr="00753E56">
        <w:rPr>
          <w:i/>
          <w:lang w:val="fr-FR"/>
        </w:rPr>
        <w:t>undicies</w:t>
      </w:r>
      <w:r w:rsidRPr="00753E56">
        <w:rPr>
          <w:lang w:val="fr-FR"/>
        </w:rPr>
        <w:t xml:space="preserve"> du décret-loi n</w:t>
      </w:r>
      <w:r w:rsidRPr="00753E56">
        <w:rPr>
          <w:vertAlign w:val="superscript"/>
          <w:lang w:val="fr-FR"/>
        </w:rPr>
        <w:t>o</w:t>
      </w:r>
      <w:r w:rsidRPr="00753E56">
        <w:rPr>
          <w:lang w:val="fr-FR"/>
        </w:rPr>
        <w:t xml:space="preserve"> 78 du 31 mai 2010, introduit par la loi n</w:t>
      </w:r>
      <w:r w:rsidRPr="00753E56">
        <w:rPr>
          <w:vertAlign w:val="superscript"/>
          <w:lang w:val="fr-FR"/>
        </w:rPr>
        <w:t>o</w:t>
      </w:r>
      <w:r w:rsidRPr="00753E56">
        <w:rPr>
          <w:lang w:val="fr-FR"/>
        </w:rPr>
        <w:t xml:space="preserve"> 122 du 30 juillet 2010, a abrogé l</w:t>
      </w:r>
      <w:r w:rsidR="00753E56" w:rsidRPr="00753E56">
        <w:rPr>
          <w:lang w:val="fr-FR"/>
        </w:rPr>
        <w:t>’</w:t>
      </w:r>
      <w:r w:rsidRPr="00753E56">
        <w:rPr>
          <w:lang w:val="fr-FR"/>
        </w:rPr>
        <w:t>article 124 du DPR n</w:t>
      </w:r>
      <w:r w:rsidRPr="00753E56">
        <w:rPr>
          <w:vertAlign w:val="superscript"/>
          <w:lang w:val="fr-FR"/>
        </w:rPr>
        <w:t>o</w:t>
      </w:r>
      <w:r w:rsidRPr="00753E56">
        <w:rPr>
          <w:lang w:val="fr-FR"/>
        </w:rPr>
        <w:t xml:space="preserve"> 1092 de 1973 et la loi n</w:t>
      </w:r>
      <w:r w:rsidRPr="00753E56">
        <w:rPr>
          <w:vertAlign w:val="superscript"/>
          <w:lang w:val="fr-FR"/>
        </w:rPr>
        <w:t>o</w:t>
      </w:r>
      <w:r w:rsidRPr="00753E56">
        <w:rPr>
          <w:lang w:val="fr-FR"/>
        </w:rPr>
        <w:t xml:space="preserve"> 322 de 1958.</w:t>
      </w:r>
    </w:p>
    <w:p w:rsidR="009A7AB9" w:rsidRPr="00753E56" w:rsidRDefault="009A7AB9" w:rsidP="00753E56">
      <w:pPr>
        <w:pStyle w:val="ECHRHeading3"/>
        <w:rPr>
          <w:lang w:val="fr-FR"/>
        </w:rPr>
      </w:pPr>
      <w:r w:rsidRPr="00753E56">
        <w:rPr>
          <w:lang w:val="fr-FR"/>
        </w:rPr>
        <w:t>4.  Le système de retraite en Italie à la lumière de la jurisprudence nationale</w:t>
      </w:r>
    </w:p>
    <w:p w:rsidR="009A7AB9" w:rsidRPr="00753E56" w:rsidRDefault="009A7AB9" w:rsidP="00753E56">
      <w:pPr>
        <w:pStyle w:val="ECHRPara"/>
        <w:rPr>
          <w:lang w:val="fr-FR"/>
        </w:rPr>
      </w:pPr>
      <w:r w:rsidRPr="00753E56">
        <w:rPr>
          <w:lang w:val="fr-FR"/>
        </w:rPr>
        <w:t xml:space="preserve">9.  Selon la jurisprudence de la Cour constitutionnelle (voir, entre autres, les </w:t>
      </w:r>
      <w:r w:rsidRPr="00753E56">
        <w:rPr>
          <w:color w:val="000000"/>
          <w:szCs w:val="24"/>
          <w:lang w:val="fr-FR"/>
        </w:rPr>
        <w:t>arrêts n</w:t>
      </w:r>
      <w:r w:rsidRPr="00753E56">
        <w:rPr>
          <w:color w:val="000000"/>
          <w:szCs w:val="24"/>
          <w:vertAlign w:val="superscript"/>
          <w:lang w:val="fr-FR"/>
        </w:rPr>
        <w:t>os</w:t>
      </w:r>
      <w:r w:rsidRPr="00753E56">
        <w:rPr>
          <w:color w:val="000000"/>
          <w:szCs w:val="24"/>
          <w:lang w:val="fr-FR"/>
        </w:rPr>
        <w:t xml:space="preserve"> 132 et 133 de 1984)</w:t>
      </w:r>
      <w:r w:rsidRPr="00753E56">
        <w:rPr>
          <w:lang w:val="fr-FR"/>
        </w:rPr>
        <w:t>, le système de retraite italien est fondé, en vertu des articles 2 et 38 de la Constitution, sur le principe de la solidarité (</w:t>
      </w:r>
      <w:r w:rsidRPr="00753E56">
        <w:rPr>
          <w:i/>
          <w:lang w:val="fr-FR"/>
        </w:rPr>
        <w:t>solidaristico</w:t>
      </w:r>
      <w:r w:rsidRPr="00753E56">
        <w:rPr>
          <w:lang w:val="fr-FR"/>
        </w:rPr>
        <w:t>), à la différence du système mutualiste (</w:t>
      </w:r>
      <w:r w:rsidRPr="00753E56">
        <w:rPr>
          <w:i/>
          <w:lang w:val="fr-FR"/>
        </w:rPr>
        <w:t>mutualistico</w:t>
      </w:r>
      <w:r w:rsidRPr="00753E56">
        <w:rPr>
          <w:lang w:val="fr-FR"/>
        </w:rPr>
        <w:t>).</w:t>
      </w:r>
    </w:p>
    <w:p w:rsidR="009A7AB9" w:rsidRPr="00753E56" w:rsidRDefault="009A7AB9" w:rsidP="00753E56">
      <w:pPr>
        <w:pStyle w:val="ECHRPara"/>
        <w:rPr>
          <w:lang w:val="fr-FR"/>
        </w:rPr>
      </w:pPr>
      <w:r w:rsidRPr="00753E56">
        <w:rPr>
          <w:lang w:val="fr-FR"/>
        </w:rPr>
        <w:t>10.  Le premier système est caractérisé par l</w:t>
      </w:r>
      <w:r w:rsidR="00753E56" w:rsidRPr="00753E56">
        <w:rPr>
          <w:lang w:val="fr-FR"/>
        </w:rPr>
        <w:t>’</w:t>
      </w:r>
      <w:r w:rsidRPr="00753E56">
        <w:rPr>
          <w:lang w:val="fr-FR"/>
        </w:rPr>
        <w:t>absence de corrélation entre le risque de l</w:t>
      </w:r>
      <w:r w:rsidR="00753E56" w:rsidRPr="00753E56">
        <w:rPr>
          <w:lang w:val="fr-FR"/>
        </w:rPr>
        <w:t>’</w:t>
      </w:r>
      <w:r w:rsidRPr="00753E56">
        <w:rPr>
          <w:lang w:val="fr-FR"/>
        </w:rPr>
        <w:t>assuré et le montant de la cotisation et par l</w:t>
      </w:r>
      <w:r w:rsidR="00753E56" w:rsidRPr="00753E56">
        <w:rPr>
          <w:lang w:val="fr-FR"/>
        </w:rPr>
        <w:t>’</w:t>
      </w:r>
      <w:r w:rsidRPr="00753E56">
        <w:rPr>
          <w:lang w:val="fr-FR"/>
        </w:rPr>
        <w:t>absence d</w:t>
      </w:r>
      <w:r w:rsidR="00753E56" w:rsidRPr="00753E56">
        <w:rPr>
          <w:lang w:val="fr-FR"/>
        </w:rPr>
        <w:t>’</w:t>
      </w:r>
      <w:r w:rsidRPr="00753E56">
        <w:rPr>
          <w:lang w:val="fr-FR"/>
        </w:rPr>
        <w:t xml:space="preserve">un rapport de proportionnalité entre les cotisations versées et les prestations servies (voir aussi Cour de cassation, arrêt </w:t>
      </w:r>
      <w:r w:rsidRPr="00753E56">
        <w:rPr>
          <w:color w:val="000000"/>
          <w:szCs w:val="24"/>
          <w:lang w:val="fr-FR"/>
        </w:rPr>
        <w:t>n</w:t>
      </w:r>
      <w:r w:rsidRPr="00753E56">
        <w:rPr>
          <w:color w:val="000000"/>
          <w:szCs w:val="24"/>
          <w:vertAlign w:val="superscript"/>
          <w:lang w:val="fr-FR"/>
        </w:rPr>
        <w:t>o</w:t>
      </w:r>
      <w:r w:rsidRPr="00753E56">
        <w:rPr>
          <w:color w:val="000000"/>
          <w:szCs w:val="24"/>
          <w:lang w:val="fr-FR"/>
        </w:rPr>
        <w:t xml:space="preserve"> 14866 de 2011, et Conseil d</w:t>
      </w:r>
      <w:r w:rsidR="00753E56" w:rsidRPr="00753E56">
        <w:rPr>
          <w:color w:val="000000"/>
          <w:szCs w:val="24"/>
          <w:lang w:val="fr-FR"/>
        </w:rPr>
        <w:t>’</w:t>
      </w:r>
      <w:r w:rsidRPr="00753E56">
        <w:rPr>
          <w:color w:val="000000"/>
          <w:szCs w:val="24"/>
          <w:lang w:val="fr-FR"/>
        </w:rPr>
        <w:t>État, Assemblée plénière, n</w:t>
      </w:r>
      <w:r w:rsidRPr="00753E56">
        <w:rPr>
          <w:color w:val="000000"/>
          <w:szCs w:val="24"/>
          <w:vertAlign w:val="superscript"/>
          <w:lang w:val="fr-FR"/>
        </w:rPr>
        <w:t>o</w:t>
      </w:r>
      <w:r w:rsidRPr="00753E56">
        <w:rPr>
          <w:color w:val="000000"/>
          <w:szCs w:val="24"/>
          <w:lang w:val="fr-FR"/>
        </w:rPr>
        <w:t xml:space="preserve"> 13 de 2006)</w:t>
      </w:r>
      <w:r w:rsidRPr="00753E56">
        <w:rPr>
          <w:lang w:val="fr-FR"/>
        </w:rPr>
        <w:t>. Dans ce contexte, les cotisations, prélevées selon la capacité contributive de chacun, servent à financer le fonds de la caisse d</w:t>
      </w:r>
      <w:r w:rsidR="00753E56" w:rsidRPr="00753E56">
        <w:rPr>
          <w:lang w:val="fr-FR"/>
        </w:rPr>
        <w:t>’</w:t>
      </w:r>
      <w:r w:rsidRPr="00753E56">
        <w:rPr>
          <w:lang w:val="fr-FR"/>
        </w:rPr>
        <w:t>assurance vieillesse, tandis que les prestations sociales sont servies proportionnellement à la situation de besoin des individus.</w:t>
      </w:r>
    </w:p>
    <w:p w:rsidR="009A7AB9" w:rsidRPr="00753E56" w:rsidRDefault="009A7AB9" w:rsidP="00753E56">
      <w:pPr>
        <w:pStyle w:val="ECHRPara"/>
        <w:rPr>
          <w:lang w:val="fr-FR"/>
        </w:rPr>
      </w:pPr>
      <w:r w:rsidRPr="00753E56">
        <w:rPr>
          <w:lang w:val="fr-FR"/>
        </w:rPr>
        <w:t>11.  En revanche, le modèle mutualiste se fonde sur la corrélation entre le risque et la cotisation et sur une stricte proportionnalité entre cotisations versées et prestations servies.</w:t>
      </w:r>
    </w:p>
    <w:p w:rsidR="009A7AB9" w:rsidRPr="00753E56" w:rsidRDefault="009A7AB9" w:rsidP="00753E56">
      <w:pPr>
        <w:pStyle w:val="ECHRPara"/>
        <w:rPr>
          <w:lang w:val="fr-FR"/>
        </w:rPr>
      </w:pPr>
      <w:r w:rsidRPr="00753E56">
        <w:rPr>
          <w:lang w:val="fr-FR"/>
        </w:rPr>
        <w:t xml:space="preserve">12.  La Cour constitutionnelle a établi aussi </w:t>
      </w:r>
      <w:r w:rsidRPr="00753E56">
        <w:rPr>
          <w:color w:val="000000"/>
          <w:szCs w:val="24"/>
          <w:lang w:val="fr-FR"/>
        </w:rPr>
        <w:t>l</w:t>
      </w:r>
      <w:r w:rsidRPr="00753E56">
        <w:rPr>
          <w:lang w:val="fr-FR"/>
        </w:rPr>
        <w:t>e principe de « l</w:t>
      </w:r>
      <w:r w:rsidR="00753E56" w:rsidRPr="00753E56">
        <w:rPr>
          <w:lang w:val="fr-FR"/>
        </w:rPr>
        <w:t>’</w:t>
      </w:r>
      <w:r w:rsidRPr="00753E56">
        <w:rPr>
          <w:lang w:val="fr-FR"/>
        </w:rPr>
        <w:t>indisponibilité des cotisations à la sécurité sociale » (</w:t>
      </w:r>
      <w:r w:rsidRPr="00753E56">
        <w:rPr>
          <w:i/>
          <w:lang w:val="fr-FR"/>
        </w:rPr>
        <w:t>indisponibilit</w:t>
      </w:r>
      <w:r w:rsidRPr="00753E56">
        <w:rPr>
          <w:rFonts w:cstheme="minorHAnsi"/>
          <w:i/>
          <w:lang w:val="fr-FR"/>
        </w:rPr>
        <w:t>à</w:t>
      </w:r>
      <w:r w:rsidRPr="00753E56">
        <w:rPr>
          <w:i/>
          <w:lang w:val="fr-FR"/>
        </w:rPr>
        <w:t xml:space="preserve"> dell</w:t>
      </w:r>
      <w:r w:rsidR="00753E56" w:rsidRPr="00753E56">
        <w:rPr>
          <w:i/>
          <w:lang w:val="fr-FR"/>
        </w:rPr>
        <w:t>’</w:t>
      </w:r>
      <w:r w:rsidRPr="00753E56">
        <w:rPr>
          <w:i/>
          <w:lang w:val="fr-FR"/>
        </w:rPr>
        <w:t>obbligazione contributiva previdenziale</w:t>
      </w:r>
      <w:r w:rsidRPr="00753E56">
        <w:rPr>
          <w:lang w:val="fr-FR"/>
        </w:rPr>
        <w:t xml:space="preserve">), qui constitue un instrument essentiel pour le financement du système </w:t>
      </w:r>
      <w:r w:rsidRPr="00753E56">
        <w:rPr>
          <w:color w:val="000000"/>
          <w:szCs w:val="24"/>
          <w:lang w:val="fr-FR"/>
        </w:rPr>
        <w:t>(arrêt n</w:t>
      </w:r>
      <w:r w:rsidRPr="00753E56">
        <w:rPr>
          <w:color w:val="000000"/>
          <w:szCs w:val="24"/>
          <w:vertAlign w:val="superscript"/>
          <w:lang w:val="fr-FR"/>
        </w:rPr>
        <w:t>o</w:t>
      </w:r>
      <w:r w:rsidRPr="00753E56">
        <w:rPr>
          <w:color w:val="000000"/>
          <w:szCs w:val="24"/>
          <w:lang w:val="fr-FR"/>
        </w:rPr>
        <w:t xml:space="preserve"> 404 de 2000 et Conseil d</w:t>
      </w:r>
      <w:r w:rsidR="00753E56" w:rsidRPr="00753E56">
        <w:rPr>
          <w:color w:val="000000"/>
          <w:szCs w:val="24"/>
          <w:lang w:val="fr-FR"/>
        </w:rPr>
        <w:t>’</w:t>
      </w:r>
      <w:r w:rsidRPr="00753E56">
        <w:rPr>
          <w:color w:val="000000"/>
          <w:szCs w:val="24"/>
          <w:lang w:val="fr-FR"/>
        </w:rPr>
        <w:t>État, n</w:t>
      </w:r>
      <w:r w:rsidRPr="00753E56">
        <w:rPr>
          <w:color w:val="000000"/>
          <w:szCs w:val="24"/>
          <w:vertAlign w:val="superscript"/>
          <w:lang w:val="fr-FR"/>
        </w:rPr>
        <w:t>o</w:t>
      </w:r>
      <w:r w:rsidRPr="00753E56">
        <w:rPr>
          <w:color w:val="000000"/>
          <w:szCs w:val="24"/>
          <w:lang w:val="fr-FR"/>
        </w:rPr>
        <w:t xml:space="preserve"> 13 de 2006)</w:t>
      </w:r>
      <w:r w:rsidRPr="00753E56">
        <w:rPr>
          <w:lang w:val="fr-FR"/>
        </w:rPr>
        <w:t>.</w:t>
      </w:r>
    </w:p>
    <w:p w:rsidR="009A7AB9" w:rsidRPr="00753E56" w:rsidRDefault="009A7AB9" w:rsidP="00753E56">
      <w:pPr>
        <w:pStyle w:val="ECHRPara"/>
        <w:rPr>
          <w:color w:val="000000"/>
          <w:szCs w:val="24"/>
          <w:lang w:val="fr-FR"/>
        </w:rPr>
      </w:pPr>
      <w:r w:rsidRPr="00753E56">
        <w:rPr>
          <w:lang w:val="fr-FR"/>
        </w:rPr>
        <w:lastRenderedPageBreak/>
        <w:t>13.  </w:t>
      </w:r>
      <w:r w:rsidRPr="00753E56">
        <w:rPr>
          <w:szCs w:val="24"/>
          <w:lang w:val="fr-FR"/>
        </w:rPr>
        <w:t>Pour ce qui est du régime général</w:t>
      </w:r>
      <w:r w:rsidRPr="00753E56" w:rsidDel="00665163">
        <w:rPr>
          <w:szCs w:val="24"/>
          <w:lang w:val="fr-FR"/>
        </w:rPr>
        <w:t xml:space="preserve"> </w:t>
      </w:r>
      <w:r w:rsidRPr="00753E56">
        <w:rPr>
          <w:szCs w:val="24"/>
          <w:lang w:val="fr-FR"/>
        </w:rPr>
        <w:t>obligatoire de l</w:t>
      </w:r>
      <w:r w:rsidR="00753E56" w:rsidRPr="00753E56">
        <w:rPr>
          <w:szCs w:val="24"/>
          <w:lang w:val="fr-FR"/>
        </w:rPr>
        <w:t>’</w:t>
      </w:r>
      <w:r w:rsidRPr="00753E56">
        <w:rPr>
          <w:szCs w:val="24"/>
          <w:lang w:val="fr-FR"/>
        </w:rPr>
        <w:t>assurance vieillesse, on applique le principe de l</w:t>
      </w:r>
      <w:r w:rsidR="00753E56" w:rsidRPr="00753E56">
        <w:rPr>
          <w:szCs w:val="24"/>
          <w:lang w:val="fr-FR"/>
        </w:rPr>
        <w:t>’</w:t>
      </w:r>
      <w:r w:rsidRPr="00753E56">
        <w:rPr>
          <w:szCs w:val="24"/>
          <w:lang w:val="fr-FR"/>
        </w:rPr>
        <w:t>encaissement</w:t>
      </w:r>
      <w:r w:rsidRPr="00753E56">
        <w:rPr>
          <w:rFonts w:ascii="Arial" w:hAnsi="Arial" w:cs="Arial"/>
          <w:color w:val="000000"/>
          <w:sz w:val="18"/>
          <w:szCs w:val="18"/>
          <w:lang w:val="fr-FR"/>
        </w:rPr>
        <w:t xml:space="preserve"> </w:t>
      </w:r>
      <w:r w:rsidRPr="00753E56">
        <w:rPr>
          <w:szCs w:val="24"/>
          <w:lang w:val="fr-FR"/>
        </w:rPr>
        <w:t xml:space="preserve">par la </w:t>
      </w:r>
      <w:r w:rsidRPr="00753E56">
        <w:rPr>
          <w:color w:val="000000"/>
          <w:szCs w:val="24"/>
          <w:lang w:val="fr-FR"/>
        </w:rPr>
        <w:t>caisse d</w:t>
      </w:r>
      <w:r w:rsidR="00753E56" w:rsidRPr="00753E56">
        <w:rPr>
          <w:color w:val="000000"/>
          <w:szCs w:val="24"/>
          <w:lang w:val="fr-FR"/>
        </w:rPr>
        <w:t>’</w:t>
      </w:r>
      <w:r w:rsidRPr="00753E56">
        <w:rPr>
          <w:color w:val="000000"/>
          <w:szCs w:val="24"/>
          <w:lang w:val="fr-FR"/>
        </w:rPr>
        <w:t>assurance vieillesse</w:t>
      </w:r>
      <w:r w:rsidRPr="00753E56" w:rsidDel="00665163">
        <w:rPr>
          <w:szCs w:val="24"/>
          <w:lang w:val="fr-FR"/>
        </w:rPr>
        <w:t xml:space="preserve"> </w:t>
      </w:r>
      <w:r w:rsidRPr="00753E56">
        <w:rPr>
          <w:szCs w:val="24"/>
          <w:lang w:val="fr-FR"/>
        </w:rPr>
        <w:t>des cotisations versées par les salariés, même si ces cotisations ne donnent pas droit à l</w:t>
      </w:r>
      <w:r w:rsidR="00753E56" w:rsidRPr="00753E56">
        <w:rPr>
          <w:szCs w:val="24"/>
          <w:lang w:val="fr-FR"/>
        </w:rPr>
        <w:t>’</w:t>
      </w:r>
      <w:r w:rsidRPr="00753E56">
        <w:rPr>
          <w:szCs w:val="24"/>
          <w:lang w:val="fr-FR"/>
        </w:rPr>
        <w:t>obtention d</w:t>
      </w:r>
      <w:r w:rsidR="00753E56" w:rsidRPr="00753E56">
        <w:rPr>
          <w:szCs w:val="24"/>
          <w:lang w:val="fr-FR"/>
        </w:rPr>
        <w:t>’</w:t>
      </w:r>
      <w:r w:rsidRPr="00753E56">
        <w:rPr>
          <w:szCs w:val="24"/>
          <w:lang w:val="fr-FR"/>
        </w:rPr>
        <w:t>une pension de retraite ou d</w:t>
      </w:r>
      <w:r w:rsidR="00753E56" w:rsidRPr="00753E56">
        <w:rPr>
          <w:szCs w:val="24"/>
          <w:lang w:val="fr-FR"/>
        </w:rPr>
        <w:t>’</w:t>
      </w:r>
      <w:r w:rsidRPr="00753E56">
        <w:rPr>
          <w:szCs w:val="24"/>
          <w:lang w:val="fr-FR"/>
        </w:rPr>
        <w:t xml:space="preserve">une indemnité de substitution </w:t>
      </w:r>
      <w:r w:rsidRPr="00753E56">
        <w:rPr>
          <w:color w:val="000000"/>
          <w:szCs w:val="24"/>
          <w:lang w:val="fr-FR"/>
        </w:rPr>
        <w:t>(Cour constitutionnelle, arrêt n</w:t>
      </w:r>
      <w:r w:rsidRPr="00753E56">
        <w:rPr>
          <w:color w:val="000000"/>
          <w:szCs w:val="24"/>
          <w:vertAlign w:val="superscript"/>
          <w:lang w:val="fr-FR"/>
        </w:rPr>
        <w:t>o</w:t>
      </w:r>
      <w:r w:rsidRPr="00753E56">
        <w:rPr>
          <w:color w:val="000000"/>
          <w:szCs w:val="24"/>
          <w:lang w:val="fr-FR"/>
        </w:rPr>
        <w:t xml:space="preserve"> 404 de 2000 ; voir aussi Cour de cassation, arrêts n</w:t>
      </w:r>
      <w:r w:rsidRPr="00753E56">
        <w:rPr>
          <w:color w:val="000000"/>
          <w:szCs w:val="24"/>
          <w:vertAlign w:val="superscript"/>
          <w:lang w:val="fr-FR"/>
        </w:rPr>
        <w:t>os</w:t>
      </w:r>
      <w:r w:rsidRPr="00753E56">
        <w:rPr>
          <w:color w:val="000000"/>
          <w:szCs w:val="24"/>
          <w:lang w:val="fr-FR"/>
        </w:rPr>
        <w:t xml:space="preserve"> 14866 de 2011 et 16689 de 2015, et Conseil d</w:t>
      </w:r>
      <w:r w:rsidR="00753E56" w:rsidRPr="00753E56">
        <w:rPr>
          <w:color w:val="000000"/>
          <w:szCs w:val="24"/>
          <w:lang w:val="fr-FR"/>
        </w:rPr>
        <w:t>’</w:t>
      </w:r>
      <w:r w:rsidRPr="00753E56">
        <w:rPr>
          <w:color w:val="000000"/>
          <w:szCs w:val="24"/>
          <w:lang w:val="fr-FR"/>
        </w:rPr>
        <w:t>État, arrêt n</w:t>
      </w:r>
      <w:r w:rsidRPr="00753E56">
        <w:rPr>
          <w:color w:val="000000"/>
          <w:szCs w:val="24"/>
          <w:vertAlign w:val="superscript"/>
          <w:lang w:val="fr-FR"/>
        </w:rPr>
        <w:t>o</w:t>
      </w:r>
      <w:r w:rsidRPr="00753E56">
        <w:rPr>
          <w:color w:val="000000"/>
          <w:szCs w:val="24"/>
          <w:lang w:val="fr-FR"/>
        </w:rPr>
        <w:t xml:space="preserve"> 13 de 2006).</w:t>
      </w:r>
    </w:p>
    <w:p w:rsidR="009A7AB9" w:rsidRPr="00753E56" w:rsidRDefault="009A7AB9" w:rsidP="00753E56">
      <w:pPr>
        <w:pStyle w:val="ECHRPara"/>
        <w:rPr>
          <w:color w:val="000000"/>
          <w:szCs w:val="24"/>
          <w:lang w:val="fr-FR"/>
        </w:rPr>
      </w:pPr>
      <w:r w:rsidRPr="00753E56">
        <w:rPr>
          <w:lang w:val="fr-FR"/>
        </w:rPr>
        <w:t>14.  Selon la Cour constitutionnelle, l</w:t>
      </w:r>
      <w:r w:rsidR="00753E56" w:rsidRPr="00753E56">
        <w:rPr>
          <w:lang w:val="fr-FR"/>
        </w:rPr>
        <w:t>’</w:t>
      </w:r>
      <w:r w:rsidRPr="00753E56">
        <w:rPr>
          <w:lang w:val="fr-FR"/>
        </w:rPr>
        <w:t>absence de rapport entre les cotisations versées et les prestations servies découle de la structure même du modèle solidaire, si bien que le salarié ne peut prétendre au versement d</w:t>
      </w:r>
      <w:r w:rsidR="00753E56" w:rsidRPr="00753E56">
        <w:rPr>
          <w:lang w:val="fr-FR"/>
        </w:rPr>
        <w:t>’</w:t>
      </w:r>
      <w:r w:rsidRPr="00753E56">
        <w:rPr>
          <w:lang w:val="fr-FR"/>
        </w:rPr>
        <w:t>une indemnité ou d</w:t>
      </w:r>
      <w:r w:rsidR="00753E56" w:rsidRPr="00753E56">
        <w:rPr>
          <w:lang w:val="fr-FR"/>
        </w:rPr>
        <w:t>’</w:t>
      </w:r>
      <w:r w:rsidRPr="00753E56">
        <w:rPr>
          <w:lang w:val="fr-FR"/>
        </w:rPr>
        <w:t>une pension de retraite telle que prévue au moment de son inscription au régime de prévoyance vieillesse</w:t>
      </w:r>
      <w:r w:rsidRPr="00753E56">
        <w:rPr>
          <w:color w:val="000000"/>
          <w:szCs w:val="24"/>
          <w:lang w:val="fr-FR"/>
        </w:rPr>
        <w:t xml:space="preserve"> (arrêts n</w:t>
      </w:r>
      <w:r w:rsidRPr="00753E56">
        <w:rPr>
          <w:color w:val="000000"/>
          <w:szCs w:val="24"/>
          <w:vertAlign w:val="superscript"/>
          <w:lang w:val="fr-FR"/>
        </w:rPr>
        <w:t>os</w:t>
      </w:r>
      <w:r w:rsidRPr="00753E56">
        <w:rPr>
          <w:color w:val="000000"/>
          <w:szCs w:val="24"/>
          <w:lang w:val="fr-FR"/>
        </w:rPr>
        <w:t xml:space="preserve"> 390 de 1995 et 132 de 1984).</w:t>
      </w:r>
    </w:p>
    <w:p w:rsidR="009A7AB9" w:rsidRPr="00753E56" w:rsidRDefault="009A7AB9" w:rsidP="00753E56">
      <w:pPr>
        <w:pStyle w:val="ECHRPara"/>
        <w:rPr>
          <w:color w:val="000000"/>
          <w:sz w:val="20"/>
          <w:lang w:val="fr-FR"/>
        </w:rPr>
      </w:pPr>
      <w:r w:rsidRPr="00753E56">
        <w:rPr>
          <w:lang w:val="fr-FR"/>
        </w:rPr>
        <w:t>15.  La Cour constitutionnelle a en outre jugé que, dans un système fondé sur la solidarité, le fait que des cotisations versées à une caisse de retraite privée ne donnent pas lieu au paiement de prestations sociales ne constitue pas un cas d</w:t>
      </w:r>
      <w:r w:rsidR="00753E56" w:rsidRPr="00753E56">
        <w:rPr>
          <w:lang w:val="fr-FR"/>
        </w:rPr>
        <w:t>’</w:t>
      </w:r>
      <w:r w:rsidRPr="00753E56">
        <w:rPr>
          <w:lang w:val="fr-FR"/>
        </w:rPr>
        <w:t>« enrichissement sans cause » (</w:t>
      </w:r>
      <w:r w:rsidRPr="00753E56">
        <w:rPr>
          <w:rStyle w:val="ju-005fpara--char"/>
          <w:bCs/>
          <w:i/>
          <w:iCs/>
          <w:lang w:val="fr-FR"/>
        </w:rPr>
        <w:t>arricchimento</w:t>
      </w:r>
      <w:r w:rsidRPr="00753E56">
        <w:rPr>
          <w:rStyle w:val="ju-005fpara--char"/>
          <w:i/>
          <w:iCs/>
          <w:lang w:val="fr-FR"/>
        </w:rPr>
        <w:t xml:space="preserve"> </w:t>
      </w:r>
      <w:r w:rsidRPr="00753E56">
        <w:rPr>
          <w:rStyle w:val="ju-005fpara--char"/>
          <w:bCs/>
          <w:i/>
          <w:iCs/>
          <w:lang w:val="fr-FR"/>
        </w:rPr>
        <w:t>senza</w:t>
      </w:r>
      <w:r w:rsidRPr="00753E56">
        <w:rPr>
          <w:rStyle w:val="ju-005fpara--char"/>
          <w:i/>
          <w:iCs/>
          <w:lang w:val="fr-FR"/>
        </w:rPr>
        <w:t xml:space="preserve"> </w:t>
      </w:r>
      <w:r w:rsidRPr="00753E56">
        <w:rPr>
          <w:rStyle w:val="ju-005fpara--char"/>
          <w:bCs/>
          <w:i/>
          <w:iCs/>
          <w:lang w:val="fr-FR"/>
        </w:rPr>
        <w:t>causa</w:t>
      </w:r>
      <w:r w:rsidRPr="00753E56">
        <w:rPr>
          <w:lang w:val="fr-FR"/>
        </w:rPr>
        <w:t>)</w:t>
      </w:r>
      <w:r w:rsidRPr="00753E56">
        <w:rPr>
          <w:color w:val="000000"/>
          <w:szCs w:val="24"/>
          <w:lang w:val="fr-FR"/>
        </w:rPr>
        <w:t xml:space="preserve"> (arrêts n</w:t>
      </w:r>
      <w:r w:rsidRPr="00753E56">
        <w:rPr>
          <w:color w:val="000000"/>
          <w:szCs w:val="24"/>
          <w:vertAlign w:val="superscript"/>
          <w:lang w:val="fr-FR"/>
        </w:rPr>
        <w:t>os</w:t>
      </w:r>
      <w:r w:rsidRPr="00753E56">
        <w:rPr>
          <w:color w:val="000000"/>
          <w:szCs w:val="24"/>
          <w:lang w:val="fr-FR"/>
        </w:rPr>
        <w:t xml:space="preserve"> 390 de 1995 et 439 de 2005, et Conseil d</w:t>
      </w:r>
      <w:r w:rsidR="00753E56" w:rsidRPr="00753E56">
        <w:rPr>
          <w:color w:val="000000"/>
          <w:szCs w:val="24"/>
          <w:lang w:val="fr-FR"/>
        </w:rPr>
        <w:t>’</w:t>
      </w:r>
      <w:r w:rsidRPr="00753E56">
        <w:rPr>
          <w:color w:val="000000"/>
          <w:szCs w:val="24"/>
          <w:lang w:val="fr-FR"/>
        </w:rPr>
        <w:t>État, n</w:t>
      </w:r>
      <w:r w:rsidRPr="00753E56">
        <w:rPr>
          <w:color w:val="000000"/>
          <w:szCs w:val="24"/>
          <w:vertAlign w:val="superscript"/>
          <w:lang w:val="fr-FR"/>
        </w:rPr>
        <w:t>o</w:t>
      </w:r>
      <w:r w:rsidRPr="00753E56">
        <w:rPr>
          <w:color w:val="000000"/>
          <w:szCs w:val="24"/>
          <w:lang w:val="fr-FR"/>
        </w:rPr>
        <w:t xml:space="preserve"> 13 de 2006).</w:t>
      </w:r>
    </w:p>
    <w:p w:rsidR="009A7AB9" w:rsidRPr="00753E56" w:rsidRDefault="009A7AB9" w:rsidP="00753E56">
      <w:pPr>
        <w:pStyle w:val="ECHRPara"/>
        <w:rPr>
          <w:color w:val="000000"/>
          <w:szCs w:val="24"/>
          <w:lang w:val="fr-FR"/>
        </w:rPr>
      </w:pPr>
      <w:r w:rsidRPr="00753E56">
        <w:rPr>
          <w:lang w:val="fr-FR"/>
        </w:rPr>
        <w:t>16.  Toujours selon la Cour constitutionnelle, dans un système fondé sur le principe de solidarité, « il incombe à tous les salariés de cotiser de manière proportionnée à leurs revenus professionnels. Les cotisations sont ainsi mises en corrélation avec la capacité contributive et non pas avec les prestations de retraite auxquelles les individus pourront prétendre dans le futur. En revanche, les conditions d</w:t>
      </w:r>
      <w:r w:rsidR="00753E56" w:rsidRPr="00753E56">
        <w:rPr>
          <w:lang w:val="fr-FR"/>
        </w:rPr>
        <w:t>’</w:t>
      </w:r>
      <w:r w:rsidRPr="00753E56">
        <w:rPr>
          <w:lang w:val="fr-FR"/>
        </w:rPr>
        <w:t xml:space="preserve">obtention des prestations dépendront des finalités spécifiques des politiques de prévoyance, fixées de manière non contestable par le législateur en fonction de la situation et des disponibilités des ressources financières, et, éventuellement, des besoins des individus » </w:t>
      </w:r>
      <w:r w:rsidRPr="00753E56">
        <w:rPr>
          <w:color w:val="000000"/>
          <w:szCs w:val="24"/>
          <w:lang w:val="fr-FR"/>
        </w:rPr>
        <w:t>(arrêt n</w:t>
      </w:r>
      <w:r w:rsidRPr="00753E56">
        <w:rPr>
          <w:color w:val="000000"/>
          <w:szCs w:val="24"/>
          <w:vertAlign w:val="superscript"/>
          <w:lang w:val="fr-FR"/>
        </w:rPr>
        <w:t>o</w:t>
      </w:r>
      <w:r w:rsidRPr="00753E56">
        <w:rPr>
          <w:color w:val="000000"/>
          <w:szCs w:val="24"/>
          <w:lang w:val="fr-FR"/>
        </w:rPr>
        <w:t xml:space="preserve"> 132 de 1984).</w:t>
      </w:r>
    </w:p>
    <w:p w:rsidR="009A7AB9" w:rsidRPr="00753E56" w:rsidRDefault="009A7AB9" w:rsidP="00753E56">
      <w:pPr>
        <w:pStyle w:val="ECHRPara"/>
        <w:rPr>
          <w:lang w:val="fr-FR"/>
        </w:rPr>
      </w:pPr>
      <w:r w:rsidRPr="00753E56">
        <w:rPr>
          <w:lang w:val="fr-FR"/>
        </w:rPr>
        <w:t>17.  En ce qui concerne le système de retraite des avocats, lui aussi construit sur le modèle de la solidarité, la Cour constitutionnelle a jugé que « les obligations imposées par les politiques de prévoyance ne sont pas basées sur le principe d</w:t>
      </w:r>
      <w:r w:rsidR="00753E56" w:rsidRPr="00753E56">
        <w:rPr>
          <w:lang w:val="fr-FR"/>
        </w:rPr>
        <w:t>’</w:t>
      </w:r>
      <w:r w:rsidRPr="00753E56">
        <w:rPr>
          <w:lang w:val="fr-FR"/>
        </w:rPr>
        <w:t>une corrélation entre les prestations perçues et le montant cotisé, mais [qu</w:t>
      </w:r>
      <w:r w:rsidR="00753E56" w:rsidRPr="00753E56">
        <w:rPr>
          <w:lang w:val="fr-FR"/>
        </w:rPr>
        <w:t>’</w:t>
      </w:r>
      <w:r w:rsidRPr="00753E56">
        <w:rPr>
          <w:lang w:val="fr-FR"/>
        </w:rPr>
        <w:t xml:space="preserve">elles] constituent un devoir de solidarité : par conséquent, ces obligations incombent, de manière générale et sans condition, à tous les membres de la catégorie professionnelle, y compris ceux qui, de manière certaine, ne pourront pas obtenir les bénéfices du système » (arrêt </w:t>
      </w:r>
      <w:r w:rsidRPr="00753E56">
        <w:rPr>
          <w:color w:val="000000"/>
          <w:szCs w:val="24"/>
          <w:lang w:val="fr-FR"/>
        </w:rPr>
        <w:t>n</w:t>
      </w:r>
      <w:r w:rsidRPr="00753E56">
        <w:rPr>
          <w:color w:val="000000"/>
          <w:szCs w:val="24"/>
          <w:vertAlign w:val="superscript"/>
          <w:lang w:val="fr-FR"/>
        </w:rPr>
        <w:t>o</w:t>
      </w:r>
      <w:r w:rsidRPr="00753E56">
        <w:rPr>
          <w:lang w:val="fr-FR"/>
        </w:rPr>
        <w:t> 133 de 1984).</w:t>
      </w:r>
    </w:p>
    <w:p w:rsidR="009A7AB9" w:rsidRPr="00753E56" w:rsidRDefault="009A7AB9" w:rsidP="00753E56">
      <w:pPr>
        <w:pStyle w:val="ECHRPara"/>
        <w:rPr>
          <w:lang w:val="fr-FR"/>
        </w:rPr>
      </w:pPr>
      <w:r w:rsidRPr="00753E56">
        <w:rPr>
          <w:lang w:val="fr-FR"/>
        </w:rPr>
        <w:t>18.  Dans une affaire relative au remboursement à ses héritiers des cotisations versées par un travailleur, la Cour constitutionnelle a considéré que, pour garantir l</w:t>
      </w:r>
      <w:r w:rsidR="00753E56" w:rsidRPr="00753E56">
        <w:rPr>
          <w:lang w:val="fr-FR"/>
        </w:rPr>
        <w:t>’</w:t>
      </w:r>
      <w:r w:rsidRPr="00753E56">
        <w:rPr>
          <w:lang w:val="fr-FR"/>
        </w:rPr>
        <w:t>équilibre financier des comptes de l</w:t>
      </w:r>
      <w:r w:rsidR="00753E56" w:rsidRPr="00753E56">
        <w:rPr>
          <w:lang w:val="fr-FR"/>
        </w:rPr>
        <w:t>’</w:t>
      </w:r>
      <w:r w:rsidRPr="00753E56">
        <w:rPr>
          <w:lang w:val="fr-FR"/>
        </w:rPr>
        <w:t>Institut national de prévoyance pour les conseillers du travail (</w:t>
      </w:r>
      <w:r w:rsidRPr="00753E56">
        <w:rPr>
          <w:i/>
          <w:lang w:val="fr-FR"/>
        </w:rPr>
        <w:t>consulenti del lavoro</w:t>
      </w:r>
      <w:r w:rsidRPr="00753E56">
        <w:rPr>
          <w:lang w:val="fr-FR"/>
        </w:rPr>
        <w:t>), il appartient au législateur d</w:t>
      </w:r>
      <w:r w:rsidR="00753E56" w:rsidRPr="00753E56">
        <w:rPr>
          <w:lang w:val="fr-FR"/>
        </w:rPr>
        <w:t>’</w:t>
      </w:r>
      <w:r w:rsidRPr="00753E56">
        <w:rPr>
          <w:lang w:val="fr-FR"/>
        </w:rPr>
        <w:t>établir dans quelle mesure l</w:t>
      </w:r>
      <w:r w:rsidR="00753E56" w:rsidRPr="00753E56">
        <w:rPr>
          <w:lang w:val="fr-FR"/>
        </w:rPr>
        <w:t>’</w:t>
      </w:r>
      <w:r w:rsidRPr="00753E56">
        <w:rPr>
          <w:lang w:val="fr-FR"/>
        </w:rPr>
        <w:t xml:space="preserve">intérêt des individus à la restitution des cotisations doit être mis en balance avec le principe de solidarité </w:t>
      </w:r>
      <w:r w:rsidRPr="00753E56">
        <w:rPr>
          <w:color w:val="000000"/>
          <w:szCs w:val="24"/>
          <w:lang w:val="fr-FR"/>
        </w:rPr>
        <w:t>(arrêt n</w:t>
      </w:r>
      <w:r w:rsidRPr="00753E56">
        <w:rPr>
          <w:color w:val="000000"/>
          <w:szCs w:val="24"/>
          <w:vertAlign w:val="superscript"/>
          <w:lang w:val="fr-FR"/>
        </w:rPr>
        <w:t>o</w:t>
      </w:r>
      <w:r w:rsidRPr="00753E56">
        <w:rPr>
          <w:color w:val="000000"/>
          <w:szCs w:val="24"/>
          <w:lang w:val="fr-FR"/>
        </w:rPr>
        <w:t xml:space="preserve"> 404 de 2000 ; voir aussi l</w:t>
      </w:r>
      <w:r w:rsidR="00753E56" w:rsidRPr="00753E56">
        <w:rPr>
          <w:color w:val="000000"/>
          <w:szCs w:val="24"/>
          <w:lang w:val="fr-FR"/>
        </w:rPr>
        <w:t>’</w:t>
      </w:r>
      <w:r w:rsidRPr="00753E56">
        <w:rPr>
          <w:color w:val="000000"/>
          <w:szCs w:val="24"/>
          <w:lang w:val="fr-FR"/>
        </w:rPr>
        <w:t>arrêt n</w:t>
      </w:r>
      <w:r w:rsidRPr="00753E56">
        <w:rPr>
          <w:color w:val="000000"/>
          <w:szCs w:val="24"/>
          <w:vertAlign w:val="superscript"/>
          <w:lang w:val="fr-FR"/>
        </w:rPr>
        <w:t>o</w:t>
      </w:r>
      <w:r w:rsidRPr="00753E56">
        <w:rPr>
          <w:color w:val="000000"/>
          <w:szCs w:val="24"/>
          <w:lang w:val="fr-FR"/>
        </w:rPr>
        <w:t> 450 de 1993)</w:t>
      </w:r>
      <w:r w:rsidRPr="00753E56">
        <w:rPr>
          <w:lang w:val="fr-FR"/>
        </w:rPr>
        <w:t>.</w:t>
      </w:r>
    </w:p>
    <w:p w:rsidR="009A7AB9" w:rsidRPr="00753E56" w:rsidRDefault="009A7AB9" w:rsidP="00753E56">
      <w:pPr>
        <w:pStyle w:val="ECHRPara"/>
        <w:rPr>
          <w:color w:val="000000"/>
          <w:szCs w:val="24"/>
          <w:lang w:val="fr-FR"/>
        </w:rPr>
      </w:pPr>
      <w:r w:rsidRPr="00753E56">
        <w:rPr>
          <w:lang w:val="fr-FR"/>
        </w:rPr>
        <w:lastRenderedPageBreak/>
        <w:t>19.  Par ailleurs, en ce qui concerne la réglementation de la caisse de prévoyance des ingénieurs et architectes (</w:t>
      </w:r>
      <w:r w:rsidRPr="00753E56">
        <w:rPr>
          <w:i/>
          <w:lang w:val="fr-FR"/>
        </w:rPr>
        <w:t>Cassa Nazionale di Previdenza e assistenza per gli Ingegneri e Architetti</w:t>
      </w:r>
      <w:r w:rsidRPr="00753E56">
        <w:rPr>
          <w:lang w:val="fr-FR"/>
        </w:rPr>
        <w:t>), la Cour constitutionnelle a affirmé que « la décision d</w:t>
      </w:r>
      <w:r w:rsidR="00753E56" w:rsidRPr="00753E56">
        <w:rPr>
          <w:lang w:val="fr-FR"/>
        </w:rPr>
        <w:t>’</w:t>
      </w:r>
      <w:r w:rsidRPr="00753E56">
        <w:rPr>
          <w:lang w:val="fr-FR"/>
        </w:rPr>
        <w:t>établir si et à quelles conditions l</w:t>
      </w:r>
      <w:r w:rsidR="00753E56" w:rsidRPr="00753E56">
        <w:rPr>
          <w:lang w:val="fr-FR"/>
        </w:rPr>
        <w:t>’</w:t>
      </w:r>
      <w:r w:rsidRPr="00753E56">
        <w:rPr>
          <w:lang w:val="fr-FR"/>
        </w:rPr>
        <w:t>individu a droit au remboursement de ses cotisations lorsqu</w:t>
      </w:r>
      <w:r w:rsidR="00753E56" w:rsidRPr="00753E56">
        <w:rPr>
          <w:lang w:val="fr-FR"/>
        </w:rPr>
        <w:t>’</w:t>
      </w:r>
      <w:r w:rsidRPr="00753E56">
        <w:rPr>
          <w:lang w:val="fr-FR"/>
        </w:rPr>
        <w:t>il n</w:t>
      </w:r>
      <w:r w:rsidR="00753E56" w:rsidRPr="00753E56">
        <w:rPr>
          <w:lang w:val="fr-FR"/>
        </w:rPr>
        <w:t>’</w:t>
      </w:r>
      <w:r w:rsidRPr="00753E56">
        <w:rPr>
          <w:lang w:val="fr-FR"/>
        </w:rPr>
        <w:t>a pas acquis un droit à pension entre dans la marge discrétionnaire du législateur » (arrêt </w:t>
      </w:r>
      <w:r w:rsidRPr="00753E56">
        <w:rPr>
          <w:color w:val="000000"/>
          <w:szCs w:val="24"/>
          <w:lang w:val="fr-FR"/>
        </w:rPr>
        <w:t>n</w:t>
      </w:r>
      <w:r w:rsidRPr="00753E56">
        <w:rPr>
          <w:color w:val="000000"/>
          <w:szCs w:val="24"/>
          <w:vertAlign w:val="superscript"/>
          <w:lang w:val="fr-FR"/>
        </w:rPr>
        <w:t>o</w:t>
      </w:r>
      <w:r w:rsidRPr="00753E56">
        <w:rPr>
          <w:lang w:val="fr-FR"/>
        </w:rPr>
        <w:t> 450 de 1993).</w:t>
      </w:r>
    </w:p>
    <w:p w:rsidR="009A7AB9" w:rsidRPr="00753E56" w:rsidRDefault="009A7AB9" w:rsidP="00753E56">
      <w:pPr>
        <w:pStyle w:val="ECHRPara"/>
        <w:rPr>
          <w:rStyle w:val="traduction"/>
          <w:lang w:val="fr-FR"/>
        </w:rPr>
      </w:pPr>
      <w:r w:rsidRPr="00753E56">
        <w:rPr>
          <w:color w:val="000000"/>
          <w:szCs w:val="24"/>
          <w:lang w:val="fr-FR"/>
        </w:rPr>
        <w:t>20.  En ce qui concerne les attentes des individus quant à la protection de l</w:t>
      </w:r>
      <w:r w:rsidR="00753E56" w:rsidRPr="00753E56">
        <w:rPr>
          <w:color w:val="000000"/>
          <w:szCs w:val="24"/>
          <w:lang w:val="fr-FR"/>
        </w:rPr>
        <w:t>’</w:t>
      </w:r>
      <w:r w:rsidRPr="00753E56">
        <w:rPr>
          <w:color w:val="000000"/>
          <w:szCs w:val="24"/>
          <w:lang w:val="fr-FR"/>
        </w:rPr>
        <w:t>intégrité de leur patrimoine, dans les cas où ceux-ci se prétendent lésés par le non-remboursement des cotisations versées, la Cour constitutionnelle rappelle que, selon sa jurisprudence constante, le législateur jouit d</w:t>
      </w:r>
      <w:r w:rsidR="00753E56" w:rsidRPr="00753E56">
        <w:rPr>
          <w:color w:val="000000"/>
          <w:szCs w:val="24"/>
          <w:lang w:val="fr-FR"/>
        </w:rPr>
        <w:t>’</w:t>
      </w:r>
      <w:r w:rsidRPr="00753E56">
        <w:rPr>
          <w:color w:val="000000"/>
          <w:szCs w:val="24"/>
          <w:lang w:val="fr-FR"/>
        </w:rPr>
        <w:t>une large marge discrétionnaire en matière d</w:t>
      </w:r>
      <w:r w:rsidR="00753E56" w:rsidRPr="00753E56">
        <w:rPr>
          <w:color w:val="000000"/>
          <w:szCs w:val="24"/>
          <w:lang w:val="fr-FR"/>
        </w:rPr>
        <w:t>’</w:t>
      </w:r>
      <w:r w:rsidRPr="00753E56">
        <w:rPr>
          <w:color w:val="000000"/>
          <w:szCs w:val="24"/>
          <w:lang w:val="fr-FR"/>
        </w:rPr>
        <w:t>application de l</w:t>
      </w:r>
      <w:r w:rsidR="00753E56" w:rsidRPr="00753E56">
        <w:rPr>
          <w:color w:val="000000"/>
          <w:szCs w:val="24"/>
          <w:lang w:val="fr-FR"/>
        </w:rPr>
        <w:t>’</w:t>
      </w:r>
      <w:r w:rsidRPr="00753E56">
        <w:rPr>
          <w:color w:val="000000"/>
          <w:szCs w:val="24"/>
          <w:lang w:val="fr-FR"/>
        </w:rPr>
        <w:t>article 38 de la Constitution, notamment aux fins de la sauvegarde des niveaux de financement du système de prévoyance de chaque catégorie professionnelle (arrêt n</w:t>
      </w:r>
      <w:r w:rsidRPr="00753E56">
        <w:rPr>
          <w:color w:val="000000"/>
          <w:szCs w:val="24"/>
          <w:vertAlign w:val="superscript"/>
          <w:lang w:val="fr-FR"/>
        </w:rPr>
        <w:t>o</w:t>
      </w:r>
      <w:r w:rsidRPr="00753E56">
        <w:rPr>
          <w:color w:val="000000"/>
          <w:szCs w:val="24"/>
          <w:lang w:val="fr-FR"/>
        </w:rPr>
        <w:t> 404 de 2000). En tout état de cause, le fait qu</w:t>
      </w:r>
      <w:r w:rsidR="00753E56" w:rsidRPr="00753E56">
        <w:rPr>
          <w:color w:val="000000"/>
          <w:szCs w:val="24"/>
          <w:lang w:val="fr-FR"/>
        </w:rPr>
        <w:t>’</w:t>
      </w:r>
      <w:r w:rsidRPr="00753E56">
        <w:rPr>
          <w:color w:val="000000"/>
          <w:szCs w:val="24"/>
          <w:lang w:val="fr-FR"/>
        </w:rPr>
        <w:t>un individu qui a</w:t>
      </w:r>
      <w:r w:rsidRPr="00753E56">
        <w:rPr>
          <w:rStyle w:val="traduction"/>
          <w:lang w:val="fr-FR"/>
        </w:rPr>
        <w:t xml:space="preserve"> atteint l</w:t>
      </w:r>
      <w:r w:rsidR="00753E56" w:rsidRPr="00753E56">
        <w:rPr>
          <w:rStyle w:val="traduction"/>
          <w:lang w:val="fr-FR"/>
        </w:rPr>
        <w:t>’</w:t>
      </w:r>
      <w:r w:rsidRPr="00753E56">
        <w:rPr>
          <w:rStyle w:val="traduction"/>
          <w:lang w:val="fr-FR"/>
        </w:rPr>
        <w:t>âge limite de départ à la retraite n</w:t>
      </w:r>
      <w:r w:rsidR="00753E56" w:rsidRPr="00753E56">
        <w:rPr>
          <w:rStyle w:val="traduction"/>
          <w:lang w:val="fr-FR"/>
        </w:rPr>
        <w:t>’</w:t>
      </w:r>
      <w:r w:rsidRPr="00753E56">
        <w:rPr>
          <w:rStyle w:val="traduction"/>
          <w:lang w:val="fr-FR"/>
        </w:rPr>
        <w:t>a pas pour autant obtenu un droit à pension est compatible avec l</w:t>
      </w:r>
      <w:r w:rsidR="00753E56" w:rsidRPr="00753E56">
        <w:rPr>
          <w:rStyle w:val="traduction"/>
          <w:lang w:val="fr-FR"/>
        </w:rPr>
        <w:t>’</w:t>
      </w:r>
      <w:r w:rsidRPr="00753E56">
        <w:rPr>
          <w:rStyle w:val="traduction"/>
          <w:lang w:val="fr-FR"/>
        </w:rPr>
        <w:t>article 38 de la Constitution. En effet, le législateur a prévu, aux termes des articles 42 et 124 du DPR n</w:t>
      </w:r>
      <w:r w:rsidRPr="00753E56">
        <w:rPr>
          <w:rStyle w:val="traduction"/>
          <w:vertAlign w:val="superscript"/>
          <w:lang w:val="fr-FR"/>
        </w:rPr>
        <w:t>o</w:t>
      </w:r>
      <w:r w:rsidRPr="00753E56">
        <w:rPr>
          <w:rStyle w:val="traduction"/>
          <w:lang w:val="fr-FR"/>
        </w:rPr>
        <w:t xml:space="preserve"> 1092 de 1973, la constitution d</w:t>
      </w:r>
      <w:r w:rsidR="00753E56" w:rsidRPr="00753E56">
        <w:rPr>
          <w:rStyle w:val="traduction"/>
          <w:lang w:val="fr-FR"/>
        </w:rPr>
        <w:t>’</w:t>
      </w:r>
      <w:r w:rsidRPr="00753E56">
        <w:rPr>
          <w:lang w:val="fr-FR"/>
        </w:rPr>
        <w:t>un compte de prévoyance dans le cadre du régime de l</w:t>
      </w:r>
      <w:r w:rsidR="00753E56" w:rsidRPr="00753E56">
        <w:rPr>
          <w:lang w:val="fr-FR"/>
        </w:rPr>
        <w:t>’</w:t>
      </w:r>
      <w:r w:rsidRPr="00753E56">
        <w:rPr>
          <w:lang w:val="fr-FR"/>
        </w:rPr>
        <w:t>assurance obligatoire invalidité-vieillesse-survivants à l</w:t>
      </w:r>
      <w:r w:rsidR="00753E56" w:rsidRPr="00753E56">
        <w:rPr>
          <w:lang w:val="fr-FR"/>
        </w:rPr>
        <w:t>’</w:t>
      </w:r>
      <w:r w:rsidRPr="00753E56">
        <w:rPr>
          <w:lang w:val="fr-FR"/>
        </w:rPr>
        <w:t xml:space="preserve">INPS </w:t>
      </w:r>
      <w:r w:rsidRPr="00753E56">
        <w:rPr>
          <w:rStyle w:val="traduction"/>
          <w:lang w:val="fr-FR"/>
        </w:rPr>
        <w:t>et l</w:t>
      </w:r>
      <w:r w:rsidR="00753E56" w:rsidRPr="00753E56">
        <w:rPr>
          <w:rStyle w:val="traduction"/>
          <w:lang w:val="fr-FR"/>
        </w:rPr>
        <w:t>’</w:t>
      </w:r>
      <w:r w:rsidRPr="00753E56">
        <w:rPr>
          <w:rStyle w:val="traduction"/>
          <w:lang w:val="fr-FR"/>
        </w:rPr>
        <w:t>octroi d</w:t>
      </w:r>
      <w:r w:rsidR="00753E56" w:rsidRPr="00753E56">
        <w:rPr>
          <w:rStyle w:val="traduction"/>
          <w:lang w:val="fr-FR"/>
        </w:rPr>
        <w:t>’</w:t>
      </w:r>
      <w:r w:rsidRPr="00753E56">
        <w:rPr>
          <w:rStyle w:val="traduction"/>
          <w:lang w:val="fr-FR"/>
        </w:rPr>
        <w:t>une indemnité (</w:t>
      </w:r>
      <w:r w:rsidRPr="00753E56">
        <w:rPr>
          <w:rStyle w:val="traduction"/>
          <w:i/>
          <w:lang w:val="fr-FR"/>
        </w:rPr>
        <w:t>una tantum</w:t>
      </w:r>
      <w:r w:rsidRPr="00753E56">
        <w:rPr>
          <w:rStyle w:val="traduction"/>
          <w:lang w:val="fr-FR"/>
        </w:rPr>
        <w:t>) de substitution à la pension « si elle dépasse le montant nécessaire à la constitution dudit compte de prévoyance » (Cour const. n</w:t>
      </w:r>
      <w:r w:rsidRPr="00753E56">
        <w:rPr>
          <w:rStyle w:val="traduction"/>
          <w:vertAlign w:val="superscript"/>
          <w:lang w:val="fr-FR"/>
        </w:rPr>
        <w:t>o</w:t>
      </w:r>
      <w:r w:rsidRPr="00753E56">
        <w:rPr>
          <w:rStyle w:val="traduction"/>
          <w:lang w:val="fr-FR"/>
        </w:rPr>
        <w:t xml:space="preserve"> 461 de 1989).</w:t>
      </w:r>
    </w:p>
    <w:p w:rsidR="009A7AB9" w:rsidRPr="00753E56" w:rsidRDefault="009A7AB9" w:rsidP="00753E56">
      <w:pPr>
        <w:pStyle w:val="ECHRPara"/>
        <w:rPr>
          <w:color w:val="000000"/>
          <w:szCs w:val="24"/>
          <w:lang w:val="fr-FR"/>
        </w:rPr>
      </w:pPr>
      <w:r w:rsidRPr="00753E56">
        <w:rPr>
          <w:rStyle w:val="traduction"/>
          <w:lang w:val="fr-FR"/>
        </w:rPr>
        <w:t>21.  Dans son arrêt n</w:t>
      </w:r>
      <w:r w:rsidRPr="00753E56">
        <w:rPr>
          <w:rStyle w:val="traduction"/>
          <w:vertAlign w:val="superscript"/>
          <w:lang w:val="fr-FR"/>
        </w:rPr>
        <w:t>o</w:t>
      </w:r>
      <w:r w:rsidRPr="00753E56">
        <w:rPr>
          <w:rStyle w:val="traduction"/>
          <w:lang w:val="fr-FR"/>
        </w:rPr>
        <w:t xml:space="preserve"> 132 de 1984, la Cour constitutionnelle a rappelé qu</w:t>
      </w:r>
      <w:r w:rsidR="00753E56" w:rsidRPr="00753E56">
        <w:rPr>
          <w:rStyle w:val="traduction"/>
          <w:lang w:val="fr-FR"/>
        </w:rPr>
        <w:t>’</w:t>
      </w:r>
      <w:r w:rsidRPr="00753E56">
        <w:rPr>
          <w:rStyle w:val="traduction"/>
          <w:lang w:val="fr-FR"/>
        </w:rPr>
        <w:t>en droit italien la cotisation de retraite avait, en substance, une nature fiscale.</w:t>
      </w:r>
    </w:p>
    <w:p w:rsidR="009A7AB9" w:rsidRPr="00753E56" w:rsidRDefault="009A7AB9" w:rsidP="00753E56">
      <w:pPr>
        <w:pStyle w:val="ECHRTitle1"/>
        <w:rPr>
          <w:lang w:val="fr-FR"/>
        </w:rPr>
      </w:pPr>
      <w:r w:rsidRPr="00753E56">
        <w:rPr>
          <w:lang w:val="fr-FR"/>
        </w:rPr>
        <w:t>GRIEF</w:t>
      </w:r>
    </w:p>
    <w:p w:rsidR="009A7AB9" w:rsidRPr="00753E56" w:rsidRDefault="009A7AB9" w:rsidP="00753E56">
      <w:pPr>
        <w:pStyle w:val="ECHRPara"/>
        <w:rPr>
          <w:lang w:val="fr-FR"/>
        </w:rPr>
      </w:pPr>
      <w:r w:rsidRPr="00753E56">
        <w:rPr>
          <w:lang w:val="fr-FR"/>
        </w:rPr>
        <w:t>22.  Sans invoquer aucun article de la Convention, la requérante se plaint d</w:t>
      </w:r>
      <w:r w:rsidR="00753E56" w:rsidRPr="00753E56">
        <w:rPr>
          <w:lang w:val="fr-FR"/>
        </w:rPr>
        <w:t>’</w:t>
      </w:r>
      <w:r w:rsidRPr="00753E56">
        <w:rPr>
          <w:lang w:val="fr-FR"/>
        </w:rPr>
        <w:t>avoir perdu la totalité des cotisations de retraite prélevées sur son salaire pendant la durée de son activité professionnelle, et ce sans avoir reçu aucune contrepartie sous forme de pension de retraite ou d</w:t>
      </w:r>
      <w:r w:rsidR="00753E56" w:rsidRPr="00753E56">
        <w:rPr>
          <w:lang w:val="fr-FR"/>
        </w:rPr>
        <w:t>’</w:t>
      </w:r>
      <w:r w:rsidRPr="00753E56">
        <w:rPr>
          <w:lang w:val="fr-FR"/>
        </w:rPr>
        <w:t>indemnité.</w:t>
      </w:r>
    </w:p>
    <w:p w:rsidR="009A7AB9" w:rsidRPr="00753E56" w:rsidRDefault="009A7AB9" w:rsidP="00753E56">
      <w:pPr>
        <w:pStyle w:val="ECHRTitle1"/>
        <w:rPr>
          <w:lang w:val="fr-FR"/>
        </w:rPr>
      </w:pPr>
      <w:r w:rsidRPr="00753E56">
        <w:rPr>
          <w:lang w:val="fr-FR"/>
        </w:rPr>
        <w:t>EN DROIT</w:t>
      </w:r>
    </w:p>
    <w:p w:rsidR="009A7AB9" w:rsidRPr="00753E56" w:rsidRDefault="009A7AB9" w:rsidP="00753E56">
      <w:pPr>
        <w:pStyle w:val="ECHRPara"/>
        <w:rPr>
          <w:lang w:val="fr-FR"/>
        </w:rPr>
      </w:pPr>
      <w:r w:rsidRPr="00753E56">
        <w:rPr>
          <w:lang w:val="fr-FR"/>
        </w:rPr>
        <w:t>23.  Maîtresse de la qualification juridique des faits (</w:t>
      </w:r>
      <w:r w:rsidRPr="00753E56">
        <w:rPr>
          <w:i/>
          <w:lang w:val="fr-FR"/>
        </w:rPr>
        <w:t>Aksu c. Turquie</w:t>
      </w:r>
      <w:r w:rsidRPr="00753E56">
        <w:rPr>
          <w:lang w:val="fr-FR"/>
        </w:rPr>
        <w:t xml:space="preserve"> [GC], n</w:t>
      </w:r>
      <w:r w:rsidRPr="00753E56">
        <w:rPr>
          <w:vertAlign w:val="superscript"/>
          <w:lang w:val="fr-FR"/>
        </w:rPr>
        <w:t>os</w:t>
      </w:r>
      <w:r w:rsidRPr="00753E56">
        <w:rPr>
          <w:lang w:val="fr-FR"/>
        </w:rPr>
        <w:t xml:space="preserve"> 4149/04 et 41029/04, § 43, CEDH 2012, et </w:t>
      </w:r>
      <w:r w:rsidRPr="00753E56">
        <w:rPr>
          <w:i/>
          <w:lang w:val="fr-FR"/>
        </w:rPr>
        <w:t>Guerra et autres c.</w:t>
      </w:r>
      <w:r w:rsidR="002D5E24" w:rsidRPr="00753E56">
        <w:rPr>
          <w:i/>
          <w:lang w:val="fr-FR"/>
        </w:rPr>
        <w:t> </w:t>
      </w:r>
      <w:r w:rsidRPr="00753E56">
        <w:rPr>
          <w:i/>
          <w:lang w:val="fr-FR"/>
        </w:rPr>
        <w:t>Italie</w:t>
      </w:r>
      <w:r w:rsidRPr="00753E56">
        <w:rPr>
          <w:lang w:val="fr-FR"/>
        </w:rPr>
        <w:t xml:space="preserve">, 19 février 1998, § 44, </w:t>
      </w:r>
      <w:r w:rsidRPr="00753E56">
        <w:rPr>
          <w:i/>
          <w:lang w:val="fr-FR"/>
        </w:rPr>
        <w:t>Recueil des arrêts et décisions</w:t>
      </w:r>
      <w:r w:rsidRPr="00753E56">
        <w:rPr>
          <w:lang w:val="fr-FR"/>
        </w:rPr>
        <w:t xml:space="preserve"> 1998</w:t>
      </w:r>
      <w:r w:rsidRPr="00753E56">
        <w:rPr>
          <w:rFonts w:ascii="MS Mincho" w:eastAsia="MS Mincho" w:hAnsi="MS Mincho" w:cs="MS Mincho"/>
          <w:lang w:val="fr-FR"/>
        </w:rPr>
        <w:t>‑</w:t>
      </w:r>
      <w:r w:rsidRPr="00753E56">
        <w:rPr>
          <w:lang w:val="fr-FR"/>
        </w:rPr>
        <w:t>I), la Cour se propose d</w:t>
      </w:r>
      <w:r w:rsidR="00753E56" w:rsidRPr="00753E56">
        <w:rPr>
          <w:rFonts w:ascii="Times New Roman" w:hAnsi="Times New Roman" w:cs="Times New Roman"/>
          <w:lang w:val="fr-FR"/>
        </w:rPr>
        <w:t>’</w:t>
      </w:r>
      <w:r w:rsidRPr="00753E56">
        <w:rPr>
          <w:lang w:val="fr-FR"/>
        </w:rPr>
        <w:t>examiner la requête sous l</w:t>
      </w:r>
      <w:r w:rsidR="00753E56" w:rsidRPr="00753E56">
        <w:rPr>
          <w:lang w:val="fr-FR"/>
        </w:rPr>
        <w:t>’</w:t>
      </w:r>
      <w:r w:rsidRPr="00753E56">
        <w:rPr>
          <w:lang w:val="fr-FR"/>
        </w:rPr>
        <w:t>angle de l</w:t>
      </w:r>
      <w:r w:rsidR="00753E56" w:rsidRPr="00753E56">
        <w:rPr>
          <w:lang w:val="fr-FR"/>
        </w:rPr>
        <w:t>’</w:t>
      </w:r>
      <w:r w:rsidRPr="00753E56">
        <w:rPr>
          <w:lang w:val="fr-FR"/>
        </w:rPr>
        <w:t>article 1 du Protocole n</w:t>
      </w:r>
      <w:r w:rsidRPr="00753E56">
        <w:rPr>
          <w:vertAlign w:val="superscript"/>
          <w:lang w:val="fr-FR"/>
        </w:rPr>
        <w:t xml:space="preserve">o </w:t>
      </w:r>
      <w:r w:rsidRPr="00753E56">
        <w:rPr>
          <w:lang w:val="fr-FR"/>
        </w:rPr>
        <w:t>1 à la Convention, ainsi libellé :</w:t>
      </w:r>
    </w:p>
    <w:p w:rsidR="009A7AB9" w:rsidRPr="00753E56" w:rsidRDefault="009A7AB9" w:rsidP="00753E56">
      <w:pPr>
        <w:pStyle w:val="ECHRParaQuote"/>
        <w:rPr>
          <w:lang w:val="fr-FR"/>
        </w:rPr>
      </w:pPr>
      <w:r w:rsidRPr="00753E56">
        <w:rPr>
          <w:lang w:val="fr-FR"/>
        </w:rPr>
        <w:lastRenderedPageBreak/>
        <w:t>« Toute personne physique ou morale a droit au respect de ses biens. Nul ne peut être privé de sa propriété que pour cause d</w:t>
      </w:r>
      <w:r w:rsidR="00753E56" w:rsidRPr="00753E56">
        <w:rPr>
          <w:lang w:val="fr-FR"/>
        </w:rPr>
        <w:t>’</w:t>
      </w:r>
      <w:r w:rsidRPr="00753E56">
        <w:rPr>
          <w:lang w:val="fr-FR"/>
        </w:rPr>
        <w:t>utilité publique et dans les conditions prévues par la loi et les principes généraux du droit international.</w:t>
      </w:r>
    </w:p>
    <w:p w:rsidR="009A7AB9" w:rsidRPr="00753E56" w:rsidRDefault="009A7AB9" w:rsidP="00753E56">
      <w:pPr>
        <w:pStyle w:val="ECHRParaQuote"/>
        <w:rPr>
          <w:lang w:val="fr-FR"/>
        </w:rPr>
      </w:pPr>
      <w:r w:rsidRPr="00753E56">
        <w:rPr>
          <w:lang w:val="fr-FR"/>
        </w:rPr>
        <w:t xml:space="preserve">Les dispositions précédentes ne portent pas atteinte au droit que possèdent les </w:t>
      </w:r>
      <w:r w:rsidRPr="00753E56">
        <w:rPr>
          <w:rFonts w:cstheme="minorHAnsi"/>
          <w:lang w:val="fr-FR"/>
        </w:rPr>
        <w:t>É</w:t>
      </w:r>
      <w:r w:rsidRPr="00753E56">
        <w:rPr>
          <w:lang w:val="fr-FR"/>
        </w:rPr>
        <w:t>tats de mettre en vigueur les lois qu</w:t>
      </w:r>
      <w:r w:rsidR="00753E56" w:rsidRPr="00753E56">
        <w:rPr>
          <w:lang w:val="fr-FR"/>
        </w:rPr>
        <w:t>’</w:t>
      </w:r>
      <w:r w:rsidRPr="00753E56">
        <w:rPr>
          <w:lang w:val="fr-FR"/>
        </w:rPr>
        <w:t>ils jugent nécessaires pour réglementer l</w:t>
      </w:r>
      <w:r w:rsidR="00753E56" w:rsidRPr="00753E56">
        <w:rPr>
          <w:lang w:val="fr-FR"/>
        </w:rPr>
        <w:t>’</w:t>
      </w:r>
      <w:r w:rsidRPr="00753E56">
        <w:rPr>
          <w:lang w:val="fr-FR"/>
        </w:rPr>
        <w:t>usage des biens conformément à l</w:t>
      </w:r>
      <w:r w:rsidR="00753E56" w:rsidRPr="00753E56">
        <w:rPr>
          <w:lang w:val="fr-FR"/>
        </w:rPr>
        <w:t>’</w:t>
      </w:r>
      <w:r w:rsidRPr="00753E56">
        <w:rPr>
          <w:lang w:val="fr-FR"/>
        </w:rPr>
        <w:t>intérêt général ou pour assurer le paiement des impôts ou d</w:t>
      </w:r>
      <w:r w:rsidR="00753E56" w:rsidRPr="00753E56">
        <w:rPr>
          <w:lang w:val="fr-FR"/>
        </w:rPr>
        <w:t>’</w:t>
      </w:r>
      <w:r w:rsidRPr="00753E56">
        <w:rPr>
          <w:lang w:val="fr-FR"/>
        </w:rPr>
        <w:t>autres contributions ou des amendes. »</w:t>
      </w:r>
    </w:p>
    <w:p w:rsidR="009A7AB9" w:rsidRPr="00753E56" w:rsidRDefault="009A7AB9" w:rsidP="00753E56">
      <w:pPr>
        <w:ind w:firstLine="284"/>
        <w:rPr>
          <w:szCs w:val="24"/>
          <w:lang w:val="fr-FR"/>
        </w:rPr>
      </w:pPr>
      <w:r w:rsidRPr="00753E56">
        <w:rPr>
          <w:szCs w:val="24"/>
          <w:lang w:val="fr-FR"/>
        </w:rPr>
        <w:t>24.  Le Gouvernement ne soulève aucune exception concernant l</w:t>
      </w:r>
      <w:r w:rsidR="00753E56" w:rsidRPr="00753E56">
        <w:rPr>
          <w:szCs w:val="24"/>
          <w:lang w:val="fr-FR"/>
        </w:rPr>
        <w:t>’</w:t>
      </w:r>
      <w:r w:rsidRPr="00753E56">
        <w:rPr>
          <w:szCs w:val="24"/>
          <w:lang w:val="fr-FR"/>
        </w:rPr>
        <w:t>applicabilité de l</w:t>
      </w:r>
      <w:r w:rsidR="00753E56" w:rsidRPr="00753E56">
        <w:rPr>
          <w:szCs w:val="24"/>
          <w:lang w:val="fr-FR"/>
        </w:rPr>
        <w:t>’</w:t>
      </w:r>
      <w:r w:rsidRPr="00753E56">
        <w:rPr>
          <w:szCs w:val="24"/>
          <w:lang w:val="fr-FR"/>
        </w:rPr>
        <w:t>article 1 du Protocole n</w:t>
      </w:r>
      <w:r w:rsidRPr="00753E56">
        <w:rPr>
          <w:szCs w:val="24"/>
          <w:vertAlign w:val="superscript"/>
          <w:lang w:val="fr-FR"/>
        </w:rPr>
        <w:t>o</w:t>
      </w:r>
      <w:r w:rsidRPr="00753E56">
        <w:rPr>
          <w:szCs w:val="24"/>
          <w:lang w:val="fr-FR"/>
        </w:rPr>
        <w:t xml:space="preserve"> 1. Cela étant, la Cour rappelle qu</w:t>
      </w:r>
      <w:r w:rsidR="00753E56" w:rsidRPr="00753E56">
        <w:rPr>
          <w:szCs w:val="24"/>
          <w:lang w:val="fr-FR"/>
        </w:rPr>
        <w:t>’</w:t>
      </w:r>
      <w:r w:rsidRPr="00753E56">
        <w:rPr>
          <w:szCs w:val="24"/>
          <w:lang w:val="fr-FR"/>
        </w:rPr>
        <w:t>elle doit, dans chaque affaire portée devant elle, s</w:t>
      </w:r>
      <w:r w:rsidR="00753E56" w:rsidRPr="00753E56">
        <w:rPr>
          <w:szCs w:val="24"/>
          <w:lang w:val="fr-FR"/>
        </w:rPr>
        <w:t>’</w:t>
      </w:r>
      <w:r w:rsidRPr="00753E56">
        <w:rPr>
          <w:szCs w:val="24"/>
          <w:lang w:val="fr-FR"/>
        </w:rPr>
        <w:t>assurer qu</w:t>
      </w:r>
      <w:r w:rsidR="00753E56" w:rsidRPr="00753E56">
        <w:rPr>
          <w:szCs w:val="24"/>
          <w:lang w:val="fr-FR"/>
        </w:rPr>
        <w:t>’</w:t>
      </w:r>
      <w:r w:rsidRPr="00753E56">
        <w:rPr>
          <w:szCs w:val="24"/>
          <w:lang w:val="fr-FR"/>
        </w:rPr>
        <w:t>elle est compétente pour connaître d</w:t>
      </w:r>
      <w:r w:rsidR="00753E56" w:rsidRPr="00753E56">
        <w:rPr>
          <w:szCs w:val="24"/>
          <w:lang w:val="fr-FR"/>
        </w:rPr>
        <w:t>’</w:t>
      </w:r>
      <w:r w:rsidRPr="00753E56">
        <w:rPr>
          <w:szCs w:val="24"/>
          <w:lang w:val="fr-FR"/>
        </w:rPr>
        <w:t>une requête et qu</w:t>
      </w:r>
      <w:r w:rsidR="00753E56" w:rsidRPr="00753E56">
        <w:rPr>
          <w:szCs w:val="24"/>
          <w:lang w:val="fr-FR"/>
        </w:rPr>
        <w:t>’</w:t>
      </w:r>
      <w:r w:rsidRPr="00753E56">
        <w:rPr>
          <w:szCs w:val="24"/>
          <w:lang w:val="fr-FR"/>
        </w:rPr>
        <w:t>il lui faut donc à chaque stade de la procédure examiner la question de sa compétence quand bien même aucune exception n</w:t>
      </w:r>
      <w:r w:rsidR="00753E56" w:rsidRPr="00753E56">
        <w:rPr>
          <w:szCs w:val="24"/>
          <w:lang w:val="fr-FR"/>
        </w:rPr>
        <w:t>’</w:t>
      </w:r>
      <w:r w:rsidRPr="00753E56">
        <w:rPr>
          <w:szCs w:val="24"/>
          <w:lang w:val="fr-FR"/>
        </w:rPr>
        <w:t>aurait été soulevée à cet égard (</w:t>
      </w:r>
      <w:r w:rsidRPr="00753E56">
        <w:rPr>
          <w:i/>
          <w:szCs w:val="24"/>
          <w:lang w:val="fr-FR"/>
        </w:rPr>
        <w:t>Blečić c. Croatie</w:t>
      </w:r>
      <w:r w:rsidRPr="00753E56">
        <w:rPr>
          <w:szCs w:val="24"/>
          <w:lang w:val="fr-FR"/>
        </w:rPr>
        <w:t xml:space="preserve"> [GC], n</w:t>
      </w:r>
      <w:r w:rsidRPr="00753E56">
        <w:rPr>
          <w:szCs w:val="24"/>
          <w:vertAlign w:val="superscript"/>
          <w:lang w:val="fr-FR"/>
        </w:rPr>
        <w:t>o</w:t>
      </w:r>
      <w:r w:rsidRPr="00753E56">
        <w:rPr>
          <w:szCs w:val="24"/>
          <w:lang w:val="fr-FR"/>
        </w:rPr>
        <w:t xml:space="preserve"> 59532/00, § 67, CEDH 2006</w:t>
      </w:r>
      <w:r w:rsidRPr="00753E56">
        <w:rPr>
          <w:rFonts w:ascii="MS Mincho" w:eastAsia="MS Mincho" w:hAnsi="MS Mincho" w:cs="MS Mincho"/>
          <w:szCs w:val="24"/>
          <w:lang w:val="fr-FR"/>
        </w:rPr>
        <w:t>‑</w:t>
      </w:r>
      <w:r w:rsidRPr="00753E56">
        <w:rPr>
          <w:szCs w:val="24"/>
          <w:lang w:val="fr-FR"/>
        </w:rPr>
        <w:t>III). La Cour rappelle qu</w:t>
      </w:r>
      <w:r w:rsidR="00753E56" w:rsidRPr="00753E56">
        <w:rPr>
          <w:szCs w:val="24"/>
          <w:lang w:val="fr-FR"/>
        </w:rPr>
        <w:t>’</w:t>
      </w:r>
      <w:r w:rsidRPr="00753E56">
        <w:rPr>
          <w:szCs w:val="24"/>
          <w:lang w:val="fr-FR"/>
        </w:rPr>
        <w:t xml:space="preserve">une question concernant la compatibilité </w:t>
      </w:r>
      <w:r w:rsidRPr="00753E56">
        <w:rPr>
          <w:i/>
          <w:szCs w:val="24"/>
          <w:lang w:val="fr-FR"/>
        </w:rPr>
        <w:t>ratione materiae</w:t>
      </w:r>
      <w:r w:rsidRPr="00753E56">
        <w:rPr>
          <w:szCs w:val="24"/>
          <w:lang w:val="fr-FR"/>
        </w:rPr>
        <w:t xml:space="preserve"> de la requête touche à sa compétence (</w:t>
      </w:r>
      <w:r w:rsidRPr="00753E56">
        <w:rPr>
          <w:i/>
          <w:lang w:val="fr-FR" w:eastAsia="fr-FR"/>
        </w:rPr>
        <w:t>Medvedyev et autres</w:t>
      </w:r>
      <w:r w:rsidRPr="00753E56">
        <w:rPr>
          <w:lang w:val="fr-FR" w:eastAsia="fr-FR"/>
        </w:rPr>
        <w:t xml:space="preserve"> </w:t>
      </w:r>
      <w:r w:rsidRPr="00753E56">
        <w:rPr>
          <w:i/>
          <w:lang w:val="fr-FR" w:eastAsia="fr-FR"/>
        </w:rPr>
        <w:t>c</w:t>
      </w:r>
      <w:r w:rsidRPr="00753E56">
        <w:rPr>
          <w:lang w:val="fr-FR" w:eastAsia="fr-FR"/>
        </w:rPr>
        <w:t xml:space="preserve">. </w:t>
      </w:r>
      <w:r w:rsidRPr="00753E56">
        <w:rPr>
          <w:i/>
          <w:lang w:val="fr-FR" w:eastAsia="fr-FR"/>
        </w:rPr>
        <w:t>France</w:t>
      </w:r>
      <w:r w:rsidRPr="00753E56">
        <w:rPr>
          <w:lang w:val="fr-FR" w:eastAsia="fr-FR"/>
        </w:rPr>
        <w:t xml:space="preserve"> [GC], n</w:t>
      </w:r>
      <w:r w:rsidRPr="00753E56">
        <w:rPr>
          <w:vertAlign w:val="superscript"/>
          <w:lang w:val="fr-FR" w:eastAsia="fr-FR"/>
        </w:rPr>
        <w:t>o</w:t>
      </w:r>
      <w:r w:rsidRPr="00753E56">
        <w:rPr>
          <w:lang w:val="fr-FR" w:eastAsia="fr-FR"/>
        </w:rPr>
        <w:t xml:space="preserve"> 3394/03, § 71, CEDH 2010)</w:t>
      </w:r>
      <w:r w:rsidRPr="00753E56">
        <w:rPr>
          <w:szCs w:val="24"/>
          <w:lang w:val="fr-FR"/>
        </w:rPr>
        <w:t>. Ainsi, elle se doit de l</w:t>
      </w:r>
      <w:r w:rsidR="00753E56" w:rsidRPr="00753E56">
        <w:rPr>
          <w:szCs w:val="24"/>
          <w:lang w:val="fr-FR"/>
        </w:rPr>
        <w:t>’</w:t>
      </w:r>
      <w:r w:rsidRPr="00753E56">
        <w:rPr>
          <w:szCs w:val="24"/>
          <w:lang w:val="fr-FR"/>
        </w:rPr>
        <w:t>examiner d</w:t>
      </w:r>
      <w:r w:rsidR="00753E56" w:rsidRPr="00753E56">
        <w:rPr>
          <w:szCs w:val="24"/>
          <w:lang w:val="fr-FR"/>
        </w:rPr>
        <w:t>’</w:t>
      </w:r>
      <w:r w:rsidRPr="00753E56">
        <w:rPr>
          <w:szCs w:val="24"/>
          <w:lang w:val="fr-FR"/>
        </w:rPr>
        <w:t>office.</w:t>
      </w:r>
    </w:p>
    <w:p w:rsidR="009A7AB9" w:rsidRPr="00753E56" w:rsidRDefault="009A7AB9" w:rsidP="00753E56">
      <w:pPr>
        <w:pStyle w:val="ECHRPara"/>
        <w:rPr>
          <w:color w:val="000000"/>
          <w:szCs w:val="24"/>
          <w:lang w:val="fr-FR"/>
        </w:rPr>
      </w:pPr>
      <w:r w:rsidRPr="00753E56">
        <w:rPr>
          <w:szCs w:val="24"/>
          <w:lang w:val="fr-FR"/>
        </w:rPr>
        <w:t xml:space="preserve">25.  La Cour rappelle que, selon sa jurisprudence bien établie, </w:t>
      </w:r>
      <w:r w:rsidRPr="00753E56">
        <w:rPr>
          <w:color w:val="000000"/>
          <w:szCs w:val="24"/>
          <w:lang w:val="fr-FR"/>
        </w:rPr>
        <w:t>le droit à l</w:t>
      </w:r>
      <w:r w:rsidR="00753E56" w:rsidRPr="00753E56">
        <w:rPr>
          <w:color w:val="000000"/>
          <w:szCs w:val="24"/>
          <w:lang w:val="fr-FR"/>
        </w:rPr>
        <w:t>’</w:t>
      </w:r>
      <w:r w:rsidRPr="00753E56">
        <w:rPr>
          <w:color w:val="000000"/>
          <w:szCs w:val="24"/>
          <w:lang w:val="fr-FR"/>
        </w:rPr>
        <w:t>octroi d</w:t>
      </w:r>
      <w:r w:rsidR="00753E56" w:rsidRPr="00753E56">
        <w:rPr>
          <w:color w:val="000000"/>
          <w:szCs w:val="24"/>
          <w:lang w:val="fr-FR"/>
        </w:rPr>
        <w:t>’</w:t>
      </w:r>
      <w:r w:rsidRPr="00753E56">
        <w:rPr>
          <w:color w:val="000000"/>
          <w:szCs w:val="24"/>
          <w:lang w:val="fr-FR"/>
        </w:rPr>
        <w:t>une pension ne figure pas comme tel parmi les droits et libertés garantis par la Convention (</w:t>
      </w:r>
      <w:r w:rsidRPr="00753E56">
        <w:rPr>
          <w:i/>
          <w:color w:val="000000"/>
          <w:szCs w:val="24"/>
          <w:lang w:val="fr-FR"/>
        </w:rPr>
        <w:t>Jankovic c. Croatie</w:t>
      </w:r>
      <w:r w:rsidRPr="00753E56">
        <w:rPr>
          <w:color w:val="000000"/>
          <w:szCs w:val="24"/>
          <w:lang w:val="fr-FR"/>
        </w:rPr>
        <w:t xml:space="preserve"> (déc.), n</w:t>
      </w:r>
      <w:r w:rsidRPr="00753E56">
        <w:rPr>
          <w:color w:val="000000"/>
          <w:szCs w:val="24"/>
          <w:vertAlign w:val="superscript"/>
          <w:lang w:val="fr-FR"/>
        </w:rPr>
        <w:t>o</w:t>
      </w:r>
      <w:r w:rsidRPr="00753E56">
        <w:rPr>
          <w:color w:val="000000"/>
          <w:szCs w:val="24"/>
          <w:lang w:val="fr-FR"/>
        </w:rPr>
        <w:t xml:space="preserve"> 43440/98, CEDH 2000-X). En particulier, l</w:t>
      </w:r>
      <w:r w:rsidR="00753E56" w:rsidRPr="00753E56">
        <w:rPr>
          <w:color w:val="000000"/>
          <w:szCs w:val="24"/>
          <w:lang w:val="fr-FR"/>
        </w:rPr>
        <w:t>’</w:t>
      </w:r>
      <w:r w:rsidRPr="00753E56">
        <w:rPr>
          <w:color w:val="000000"/>
          <w:szCs w:val="24"/>
          <w:lang w:val="fr-FR"/>
        </w:rPr>
        <w:t>article 1 du Protocole n</w:t>
      </w:r>
      <w:r w:rsidRPr="00753E56">
        <w:rPr>
          <w:color w:val="000000"/>
          <w:szCs w:val="24"/>
          <w:vertAlign w:val="superscript"/>
          <w:lang w:val="fr-FR"/>
        </w:rPr>
        <w:t>o</w:t>
      </w:r>
      <w:r w:rsidRPr="00753E56">
        <w:rPr>
          <w:color w:val="000000"/>
          <w:szCs w:val="24"/>
          <w:lang w:val="fr-FR"/>
        </w:rPr>
        <w:t xml:space="preserve"> 1 ne confère, en soi, aucun droit à percevoir une prestation sociale ou une pension d</w:t>
      </w:r>
      <w:r w:rsidR="00753E56" w:rsidRPr="00753E56">
        <w:rPr>
          <w:color w:val="000000"/>
          <w:szCs w:val="24"/>
          <w:lang w:val="fr-FR"/>
        </w:rPr>
        <w:t>’</w:t>
      </w:r>
      <w:r w:rsidRPr="00753E56">
        <w:rPr>
          <w:color w:val="000000"/>
          <w:szCs w:val="24"/>
          <w:lang w:val="fr-FR"/>
        </w:rPr>
        <w:t>un montant déterminé (</w:t>
      </w:r>
      <w:r w:rsidRPr="00753E56">
        <w:rPr>
          <w:i/>
          <w:iCs/>
          <w:color w:val="000000"/>
          <w:szCs w:val="24"/>
          <w:lang w:val="fr-FR"/>
        </w:rPr>
        <w:t>Stec et autres c. Royaume-Uni</w:t>
      </w:r>
      <w:r w:rsidRPr="00753E56">
        <w:rPr>
          <w:color w:val="000000"/>
          <w:szCs w:val="24"/>
          <w:lang w:val="fr-FR"/>
        </w:rPr>
        <w:t xml:space="preserve"> (déc.) [GC], n</w:t>
      </w:r>
      <w:r w:rsidRPr="00753E56">
        <w:rPr>
          <w:color w:val="000000"/>
          <w:szCs w:val="24"/>
          <w:vertAlign w:val="superscript"/>
          <w:lang w:val="fr-FR"/>
        </w:rPr>
        <w:t xml:space="preserve">os </w:t>
      </w:r>
      <w:r w:rsidRPr="00753E56">
        <w:rPr>
          <w:color w:val="000000"/>
          <w:szCs w:val="24"/>
          <w:lang w:val="fr-FR"/>
        </w:rPr>
        <w:t>65731/01 et 65900/01, CEDH 2005</w:t>
      </w:r>
      <w:r w:rsidRPr="00753E56">
        <w:rPr>
          <w:color w:val="000000"/>
          <w:szCs w:val="24"/>
          <w:lang w:val="fr-FR"/>
        </w:rPr>
        <w:noBreakHyphen/>
        <w:t>X). Dans cette dernière décision, la Cour a considéré, à la lumière de l</w:t>
      </w:r>
      <w:r w:rsidR="00753E56" w:rsidRPr="00753E56">
        <w:rPr>
          <w:color w:val="000000"/>
          <w:szCs w:val="24"/>
          <w:lang w:val="fr-FR"/>
        </w:rPr>
        <w:t>’</w:t>
      </w:r>
      <w:r w:rsidRPr="00753E56">
        <w:rPr>
          <w:color w:val="000000"/>
          <w:szCs w:val="24"/>
          <w:lang w:val="fr-FR"/>
        </w:rPr>
        <w:t xml:space="preserve">affaire </w:t>
      </w:r>
      <w:r w:rsidRPr="00753E56">
        <w:rPr>
          <w:i/>
          <w:color w:val="000000"/>
          <w:szCs w:val="24"/>
          <w:lang w:val="fr-FR"/>
        </w:rPr>
        <w:t>Kopecký c. Slovaquie</w:t>
      </w:r>
      <w:r w:rsidRPr="00753E56">
        <w:rPr>
          <w:color w:val="000000"/>
          <w:szCs w:val="24"/>
          <w:lang w:val="fr-FR"/>
        </w:rPr>
        <w:t xml:space="preserve"> ([GC], n</w:t>
      </w:r>
      <w:r w:rsidRPr="00753E56">
        <w:rPr>
          <w:color w:val="000000"/>
          <w:szCs w:val="24"/>
          <w:vertAlign w:val="superscript"/>
          <w:lang w:val="fr-FR"/>
        </w:rPr>
        <w:t>o</w:t>
      </w:r>
      <w:r w:rsidRPr="00753E56">
        <w:rPr>
          <w:color w:val="000000"/>
          <w:szCs w:val="24"/>
          <w:lang w:val="fr-FR"/>
        </w:rPr>
        <w:t> 44912/98, CEDH 2004-IX) que cette disposition ne créait aucun droit d</w:t>
      </w:r>
      <w:r w:rsidR="00753E56" w:rsidRPr="00753E56">
        <w:rPr>
          <w:color w:val="000000"/>
          <w:szCs w:val="24"/>
          <w:lang w:val="fr-FR"/>
        </w:rPr>
        <w:t>’</w:t>
      </w:r>
      <w:r w:rsidRPr="00753E56">
        <w:rPr>
          <w:color w:val="000000"/>
          <w:szCs w:val="24"/>
          <w:lang w:val="fr-FR"/>
        </w:rPr>
        <w:t>acquérir des biens. Elle n</w:t>
      </w:r>
      <w:r w:rsidR="00753E56" w:rsidRPr="00753E56">
        <w:rPr>
          <w:color w:val="000000"/>
          <w:szCs w:val="24"/>
          <w:lang w:val="fr-FR"/>
        </w:rPr>
        <w:t>’</w:t>
      </w:r>
      <w:r w:rsidRPr="00753E56">
        <w:rPr>
          <w:color w:val="000000"/>
          <w:szCs w:val="24"/>
          <w:lang w:val="fr-FR"/>
        </w:rPr>
        <w:t>impose aucune restriction à la liberté pour les États contractants de décider d</w:t>
      </w:r>
      <w:r w:rsidR="00753E56" w:rsidRPr="00753E56">
        <w:rPr>
          <w:color w:val="000000"/>
          <w:szCs w:val="24"/>
          <w:lang w:val="fr-FR"/>
        </w:rPr>
        <w:t>’</w:t>
      </w:r>
      <w:r w:rsidRPr="00753E56">
        <w:rPr>
          <w:color w:val="000000"/>
          <w:szCs w:val="24"/>
          <w:lang w:val="fr-FR"/>
        </w:rPr>
        <w:t>instaurer ou non un régime de protection sociale ou de choisir le type ou le niveau des prestations censées être accordées au titre de pareil régime.</w:t>
      </w:r>
    </w:p>
    <w:p w:rsidR="009A7AB9" w:rsidRPr="00753E56" w:rsidRDefault="009A7AB9" w:rsidP="00753E56">
      <w:pPr>
        <w:ind w:firstLine="284"/>
        <w:rPr>
          <w:lang w:val="fr-FR"/>
        </w:rPr>
      </w:pPr>
      <w:r w:rsidRPr="00753E56">
        <w:rPr>
          <w:szCs w:val="24"/>
          <w:lang w:val="fr-FR"/>
        </w:rPr>
        <w:t>26.  En l</w:t>
      </w:r>
      <w:r w:rsidR="00753E56" w:rsidRPr="00753E56">
        <w:rPr>
          <w:szCs w:val="24"/>
          <w:lang w:val="fr-FR"/>
        </w:rPr>
        <w:t>’</w:t>
      </w:r>
      <w:r w:rsidRPr="00753E56">
        <w:rPr>
          <w:szCs w:val="24"/>
          <w:lang w:val="fr-FR"/>
        </w:rPr>
        <w:t>espèce, la Cour note que la requérante ne réclame pas le droit à la pension. La présente requête soulève un problème différent, à savoir la question de la perte d</w:t>
      </w:r>
      <w:r w:rsidR="00753E56" w:rsidRPr="00753E56">
        <w:rPr>
          <w:szCs w:val="24"/>
          <w:lang w:val="fr-FR"/>
        </w:rPr>
        <w:t>’</w:t>
      </w:r>
      <w:r w:rsidRPr="00753E56">
        <w:rPr>
          <w:szCs w:val="24"/>
          <w:lang w:val="fr-FR"/>
        </w:rPr>
        <w:t xml:space="preserve">une somme correspondant aux </w:t>
      </w:r>
      <w:r w:rsidRPr="00753E56">
        <w:rPr>
          <w:lang w:val="fr-FR"/>
        </w:rPr>
        <w:t>cotisations de retraite prélevées sur le salaire de l</w:t>
      </w:r>
      <w:r w:rsidR="00753E56" w:rsidRPr="00753E56">
        <w:rPr>
          <w:lang w:val="fr-FR"/>
        </w:rPr>
        <w:t>’</w:t>
      </w:r>
      <w:r w:rsidRPr="00753E56">
        <w:rPr>
          <w:lang w:val="fr-FR"/>
        </w:rPr>
        <w:t xml:space="preserve">intéressée pendant la durée de son activité et </w:t>
      </w:r>
      <w:r w:rsidRPr="00753E56">
        <w:rPr>
          <w:szCs w:val="24"/>
          <w:lang w:val="fr-FR"/>
        </w:rPr>
        <w:t>versées</w:t>
      </w:r>
      <w:r w:rsidRPr="00753E56">
        <w:rPr>
          <w:lang w:val="fr-FR"/>
        </w:rPr>
        <w:t xml:space="preserve"> </w:t>
      </w:r>
      <w:r w:rsidRPr="00753E56">
        <w:rPr>
          <w:szCs w:val="24"/>
          <w:lang w:val="fr-FR"/>
        </w:rPr>
        <w:t>à la caisse d</w:t>
      </w:r>
      <w:r w:rsidR="00753E56" w:rsidRPr="00753E56">
        <w:rPr>
          <w:szCs w:val="24"/>
          <w:lang w:val="fr-FR"/>
        </w:rPr>
        <w:t>’</w:t>
      </w:r>
      <w:r w:rsidRPr="00753E56">
        <w:rPr>
          <w:szCs w:val="24"/>
          <w:lang w:val="fr-FR"/>
        </w:rPr>
        <w:t>assurance vieillesse</w:t>
      </w:r>
      <w:r w:rsidRPr="00753E56">
        <w:rPr>
          <w:lang w:val="fr-FR"/>
        </w:rPr>
        <w:t>. Ces sommes équivaudraient</w:t>
      </w:r>
      <w:r w:rsidRPr="00753E56">
        <w:rPr>
          <w:szCs w:val="24"/>
          <w:lang w:val="fr-FR"/>
        </w:rPr>
        <w:t xml:space="preserve"> à environ un tiers des salaires mensuels que la requérante a touchés pendant la durée de son activité.</w:t>
      </w:r>
    </w:p>
    <w:p w:rsidR="009A7AB9" w:rsidRPr="00753E56" w:rsidRDefault="009A7AB9" w:rsidP="00753E56">
      <w:pPr>
        <w:pStyle w:val="ECHRPara"/>
        <w:rPr>
          <w:i/>
          <w:lang w:val="fr-FR" w:eastAsia="fr-FR"/>
        </w:rPr>
      </w:pPr>
      <w:r w:rsidRPr="00753E56">
        <w:rPr>
          <w:lang w:val="fr-FR"/>
        </w:rPr>
        <w:t>27.  La Cour estime que, au même titre que l</w:t>
      </w:r>
      <w:r w:rsidR="00753E56" w:rsidRPr="00753E56">
        <w:rPr>
          <w:lang w:val="fr-FR"/>
        </w:rPr>
        <w:t>’</w:t>
      </w:r>
      <w:r w:rsidRPr="00753E56">
        <w:rPr>
          <w:lang w:val="fr-FR"/>
        </w:rPr>
        <w:t>imposition fiscale et d</w:t>
      </w:r>
      <w:r w:rsidR="00753E56" w:rsidRPr="00753E56">
        <w:rPr>
          <w:lang w:val="fr-FR"/>
        </w:rPr>
        <w:t>’</w:t>
      </w:r>
      <w:r w:rsidRPr="00753E56">
        <w:rPr>
          <w:lang w:val="fr-FR"/>
        </w:rPr>
        <w:t xml:space="preserve">autres types de contribution (voir, par exemple, </w:t>
      </w:r>
      <w:r w:rsidRPr="00753E56">
        <w:rPr>
          <w:i/>
          <w:lang w:val="fr-FR" w:eastAsia="fr-FR"/>
        </w:rPr>
        <w:t>Di Belmonte c. Italie</w:t>
      </w:r>
      <w:r w:rsidRPr="00753E56">
        <w:rPr>
          <w:lang w:val="fr-FR" w:eastAsia="fr-FR"/>
        </w:rPr>
        <w:t>, n</w:t>
      </w:r>
      <w:r w:rsidRPr="00753E56">
        <w:rPr>
          <w:vertAlign w:val="superscript"/>
          <w:lang w:val="fr-FR" w:eastAsia="fr-FR"/>
        </w:rPr>
        <w:t>o</w:t>
      </w:r>
      <w:r w:rsidRPr="00753E56">
        <w:rPr>
          <w:lang w:val="fr-FR" w:eastAsia="fr-FR"/>
        </w:rPr>
        <w:t> 72638/01</w:t>
      </w:r>
      <w:r w:rsidRPr="00753E56">
        <w:rPr>
          <w:snapToGrid w:val="0"/>
          <w:lang w:val="fr-FR" w:eastAsia="fr-FR"/>
        </w:rPr>
        <w:t xml:space="preserve">, § 38, 16 </w:t>
      </w:r>
      <w:r w:rsidRPr="00753E56">
        <w:rPr>
          <w:lang w:val="fr-FR" w:eastAsia="fr-FR"/>
        </w:rPr>
        <w:t>mars</w:t>
      </w:r>
      <w:r w:rsidRPr="00753E56">
        <w:rPr>
          <w:snapToGrid w:val="0"/>
          <w:lang w:val="fr-FR" w:eastAsia="fr-FR"/>
        </w:rPr>
        <w:t xml:space="preserve"> 2010)</w:t>
      </w:r>
      <w:r w:rsidRPr="00753E56">
        <w:rPr>
          <w:lang w:val="fr-FR"/>
        </w:rPr>
        <w:t>, l</w:t>
      </w:r>
      <w:r w:rsidR="00753E56" w:rsidRPr="00753E56">
        <w:rPr>
          <w:lang w:val="fr-FR"/>
        </w:rPr>
        <w:t>’</w:t>
      </w:r>
      <w:r w:rsidRPr="00753E56">
        <w:rPr>
          <w:lang w:val="fr-FR"/>
        </w:rPr>
        <w:t>obligation de verser des cotisations constitue en principe une ingérence dans le droit garanti par le premier alinéa de l</w:t>
      </w:r>
      <w:r w:rsidR="00753E56" w:rsidRPr="00753E56">
        <w:rPr>
          <w:lang w:val="fr-FR"/>
        </w:rPr>
        <w:t>’</w:t>
      </w:r>
      <w:r w:rsidRPr="00753E56">
        <w:rPr>
          <w:lang w:val="fr-FR"/>
        </w:rPr>
        <w:t>article 1 du Protocole n</w:t>
      </w:r>
      <w:r w:rsidRPr="00753E56">
        <w:rPr>
          <w:vertAlign w:val="superscript"/>
          <w:lang w:val="fr-FR"/>
        </w:rPr>
        <w:t>o</w:t>
      </w:r>
      <w:r w:rsidRPr="00753E56">
        <w:rPr>
          <w:lang w:val="fr-FR"/>
        </w:rPr>
        <w:t xml:space="preserve"> 1, ce qui n</w:t>
      </w:r>
      <w:r w:rsidR="00753E56" w:rsidRPr="00753E56">
        <w:rPr>
          <w:lang w:val="fr-FR"/>
        </w:rPr>
        <w:t>’</w:t>
      </w:r>
      <w:r w:rsidRPr="00753E56">
        <w:rPr>
          <w:lang w:val="fr-FR"/>
        </w:rPr>
        <w:t>est pas contesté par le Gouvernement.</w:t>
      </w:r>
    </w:p>
    <w:p w:rsidR="009A7AB9" w:rsidRPr="00753E56" w:rsidRDefault="009A7AB9" w:rsidP="00753E56">
      <w:pPr>
        <w:ind w:firstLine="360"/>
        <w:rPr>
          <w:lang w:val="fr-FR"/>
        </w:rPr>
      </w:pPr>
      <w:r w:rsidRPr="00753E56">
        <w:rPr>
          <w:lang w:val="fr-FR"/>
        </w:rPr>
        <w:lastRenderedPageBreak/>
        <w:t>28.  Ainsi, la Cour estime que l</w:t>
      </w:r>
      <w:r w:rsidR="00753E56" w:rsidRPr="00753E56">
        <w:rPr>
          <w:lang w:val="fr-FR"/>
        </w:rPr>
        <w:t>’</w:t>
      </w:r>
      <w:r w:rsidRPr="00753E56">
        <w:rPr>
          <w:lang w:val="fr-FR"/>
        </w:rPr>
        <w:t xml:space="preserve">article 1 du Protocole </w:t>
      </w:r>
      <w:r w:rsidRPr="00753E56">
        <w:rPr>
          <w:color w:val="000000"/>
          <w:szCs w:val="24"/>
          <w:lang w:val="fr-FR"/>
        </w:rPr>
        <w:t>n</w:t>
      </w:r>
      <w:r w:rsidRPr="00753E56">
        <w:rPr>
          <w:color w:val="000000"/>
          <w:szCs w:val="24"/>
          <w:vertAlign w:val="superscript"/>
          <w:lang w:val="fr-FR"/>
        </w:rPr>
        <w:t>o</w:t>
      </w:r>
      <w:r w:rsidRPr="00753E56">
        <w:rPr>
          <w:lang w:val="fr-FR"/>
        </w:rPr>
        <w:t xml:space="preserve"> 1 trouve à s</w:t>
      </w:r>
      <w:r w:rsidR="00753E56" w:rsidRPr="00753E56">
        <w:rPr>
          <w:lang w:val="fr-FR"/>
        </w:rPr>
        <w:t>’</w:t>
      </w:r>
      <w:r w:rsidRPr="00753E56">
        <w:rPr>
          <w:lang w:val="fr-FR"/>
        </w:rPr>
        <w:t>appliquer en l</w:t>
      </w:r>
      <w:r w:rsidR="00753E56" w:rsidRPr="00753E56">
        <w:rPr>
          <w:lang w:val="fr-FR"/>
        </w:rPr>
        <w:t>’</w:t>
      </w:r>
      <w:r w:rsidRPr="00753E56">
        <w:rPr>
          <w:lang w:val="fr-FR"/>
        </w:rPr>
        <w:t>espèce.</w:t>
      </w:r>
    </w:p>
    <w:p w:rsidR="009A7AB9" w:rsidRPr="00753E56" w:rsidRDefault="009A7AB9" w:rsidP="00753E56">
      <w:pPr>
        <w:ind w:firstLine="360"/>
        <w:rPr>
          <w:szCs w:val="24"/>
          <w:lang w:val="fr-FR"/>
        </w:rPr>
      </w:pPr>
      <w:r w:rsidRPr="00753E56">
        <w:rPr>
          <w:szCs w:val="24"/>
          <w:lang w:val="fr-FR"/>
        </w:rPr>
        <w:t>29.  En ce qui concerne la base légale de l</w:t>
      </w:r>
      <w:r w:rsidR="00753E56" w:rsidRPr="00753E56">
        <w:rPr>
          <w:szCs w:val="24"/>
          <w:lang w:val="fr-FR"/>
        </w:rPr>
        <w:t>’</w:t>
      </w:r>
      <w:r w:rsidRPr="00753E56">
        <w:rPr>
          <w:szCs w:val="24"/>
          <w:lang w:val="fr-FR"/>
        </w:rPr>
        <w:t>ingérence, la Cour relève que, selon le Gouvernement, la privation d</w:t>
      </w:r>
      <w:r w:rsidR="00753E56" w:rsidRPr="00753E56">
        <w:rPr>
          <w:szCs w:val="24"/>
          <w:lang w:val="fr-FR"/>
        </w:rPr>
        <w:t>’</w:t>
      </w:r>
      <w:r w:rsidRPr="00753E56">
        <w:rPr>
          <w:szCs w:val="24"/>
          <w:lang w:val="fr-FR"/>
        </w:rPr>
        <w:t>une somme correspondant à un tiers des salaires versés mensuellement pendant toute la durée de l</w:t>
      </w:r>
      <w:r w:rsidR="00753E56" w:rsidRPr="00753E56">
        <w:rPr>
          <w:szCs w:val="24"/>
          <w:lang w:val="fr-FR"/>
        </w:rPr>
        <w:t>’</w:t>
      </w:r>
      <w:r w:rsidRPr="00753E56">
        <w:rPr>
          <w:szCs w:val="24"/>
          <w:lang w:val="fr-FR"/>
        </w:rPr>
        <w:t>activité de la requérante à titre de cotisations et l</w:t>
      </w:r>
      <w:r w:rsidR="00753E56" w:rsidRPr="00753E56">
        <w:rPr>
          <w:szCs w:val="24"/>
          <w:lang w:val="fr-FR"/>
        </w:rPr>
        <w:t>’</w:t>
      </w:r>
      <w:r w:rsidRPr="00753E56">
        <w:rPr>
          <w:szCs w:val="24"/>
          <w:lang w:val="fr-FR"/>
        </w:rPr>
        <w:t>utilisation de l</w:t>
      </w:r>
      <w:r w:rsidR="00753E56" w:rsidRPr="00753E56">
        <w:rPr>
          <w:szCs w:val="24"/>
          <w:lang w:val="fr-FR"/>
        </w:rPr>
        <w:t>’</w:t>
      </w:r>
      <w:r w:rsidRPr="00753E56">
        <w:rPr>
          <w:szCs w:val="24"/>
          <w:lang w:val="fr-FR"/>
        </w:rPr>
        <w:t xml:space="preserve">indemnité </w:t>
      </w:r>
      <w:r w:rsidRPr="00753E56">
        <w:rPr>
          <w:i/>
          <w:szCs w:val="24"/>
          <w:lang w:val="fr-FR"/>
        </w:rPr>
        <w:t>una tantum</w:t>
      </w:r>
      <w:r w:rsidRPr="00753E56">
        <w:rPr>
          <w:szCs w:val="24"/>
          <w:lang w:val="fr-FR"/>
        </w:rPr>
        <w:t xml:space="preserve"> pour la constitution d</w:t>
      </w:r>
      <w:r w:rsidR="00753E56" w:rsidRPr="00753E56">
        <w:rPr>
          <w:szCs w:val="24"/>
          <w:lang w:val="fr-FR"/>
        </w:rPr>
        <w:t>’</w:t>
      </w:r>
      <w:r w:rsidRPr="00753E56">
        <w:rPr>
          <w:szCs w:val="24"/>
          <w:lang w:val="fr-FR"/>
        </w:rPr>
        <w:t>un compte de prévoyance étaient prévues par la « loi ». La Cour constate que la requérante ne s</w:t>
      </w:r>
      <w:r w:rsidR="00753E56" w:rsidRPr="00753E56">
        <w:rPr>
          <w:szCs w:val="24"/>
          <w:lang w:val="fr-FR"/>
        </w:rPr>
        <w:t>’</w:t>
      </w:r>
      <w:r w:rsidRPr="00753E56">
        <w:rPr>
          <w:szCs w:val="24"/>
          <w:lang w:val="fr-FR"/>
        </w:rPr>
        <w:t>est pas exprimée sur ce point et ne voit aucune raison de parvenir à une autre conclusion.</w:t>
      </w:r>
    </w:p>
    <w:p w:rsidR="009A7AB9" w:rsidRPr="00753E56" w:rsidRDefault="009A7AB9" w:rsidP="00753E56">
      <w:pPr>
        <w:ind w:firstLine="360"/>
        <w:rPr>
          <w:lang w:val="fr-FR"/>
        </w:rPr>
      </w:pPr>
      <w:r w:rsidRPr="00753E56">
        <w:rPr>
          <w:lang w:val="fr-FR"/>
        </w:rPr>
        <w:t>30.  Pour ce qui est du but légitime et du caractère proportionné de l</w:t>
      </w:r>
      <w:r w:rsidR="00753E56" w:rsidRPr="00753E56">
        <w:rPr>
          <w:lang w:val="fr-FR"/>
        </w:rPr>
        <w:t>’</w:t>
      </w:r>
      <w:r w:rsidRPr="00753E56">
        <w:rPr>
          <w:lang w:val="fr-FR"/>
        </w:rPr>
        <w:t>ingérence, l</w:t>
      </w:r>
      <w:r w:rsidRPr="00753E56">
        <w:rPr>
          <w:szCs w:val="24"/>
          <w:lang w:val="fr-FR"/>
        </w:rPr>
        <w:t xml:space="preserve">e Gouvernement soutient </w:t>
      </w:r>
      <w:r w:rsidRPr="00753E56">
        <w:rPr>
          <w:lang w:val="fr-FR"/>
        </w:rPr>
        <w:t>que l</w:t>
      </w:r>
      <w:r w:rsidR="00753E56" w:rsidRPr="00753E56">
        <w:rPr>
          <w:lang w:val="fr-FR"/>
        </w:rPr>
        <w:t>’</w:t>
      </w:r>
      <w:r w:rsidRPr="00753E56">
        <w:rPr>
          <w:lang w:val="fr-FR"/>
        </w:rPr>
        <w:t>article 1 du Protocole n</w:t>
      </w:r>
      <w:r w:rsidRPr="00753E56">
        <w:rPr>
          <w:vertAlign w:val="superscript"/>
          <w:lang w:val="fr-FR"/>
        </w:rPr>
        <w:t>o</w:t>
      </w:r>
      <w:r w:rsidRPr="00753E56">
        <w:rPr>
          <w:lang w:val="fr-FR"/>
        </w:rPr>
        <w:t xml:space="preserve"> 1 n</w:t>
      </w:r>
      <w:r w:rsidR="00753E56" w:rsidRPr="00753E56">
        <w:rPr>
          <w:lang w:val="fr-FR"/>
        </w:rPr>
        <w:t>’</w:t>
      </w:r>
      <w:r w:rsidRPr="00753E56">
        <w:rPr>
          <w:lang w:val="fr-FR"/>
        </w:rPr>
        <w:t>a pas été violé en l</w:t>
      </w:r>
      <w:r w:rsidR="00753E56" w:rsidRPr="00753E56">
        <w:rPr>
          <w:lang w:val="fr-FR"/>
        </w:rPr>
        <w:t>’</w:t>
      </w:r>
      <w:r w:rsidRPr="00753E56">
        <w:rPr>
          <w:lang w:val="fr-FR"/>
        </w:rPr>
        <w:t>espèce en raison de ce que : a)  le système des cotisations est soumis au principe de solidarité et il poursuit donc un intérêt général légitime ; b)  les cotisations « font partie du coût du travail », qui serait partagé entre employeur et employé ; c)  la requérante avait la possibilité d</w:t>
      </w:r>
      <w:r w:rsidR="00753E56" w:rsidRPr="00753E56">
        <w:rPr>
          <w:lang w:val="fr-FR"/>
        </w:rPr>
        <w:t>’</w:t>
      </w:r>
      <w:r w:rsidRPr="00753E56">
        <w:rPr>
          <w:lang w:val="fr-FR"/>
        </w:rPr>
        <w:t>utiliser le compte de prévoyance créé auprès de l</w:t>
      </w:r>
      <w:r w:rsidR="00753E56" w:rsidRPr="00753E56">
        <w:rPr>
          <w:lang w:val="fr-FR"/>
        </w:rPr>
        <w:t>’</w:t>
      </w:r>
      <w:r w:rsidRPr="00753E56">
        <w:rPr>
          <w:lang w:val="fr-FR"/>
        </w:rPr>
        <w:t>INPS pour obtenir le droit à la pension en l</w:t>
      </w:r>
      <w:r w:rsidR="00753E56" w:rsidRPr="00753E56">
        <w:rPr>
          <w:lang w:val="fr-FR"/>
        </w:rPr>
        <w:t>’</w:t>
      </w:r>
      <w:r w:rsidRPr="00753E56">
        <w:rPr>
          <w:lang w:val="fr-FR"/>
        </w:rPr>
        <w:t>alimentant par des versements volontaires, ce qui aurait permis d</w:t>
      </w:r>
      <w:r w:rsidR="00753E56" w:rsidRPr="00753E56">
        <w:rPr>
          <w:lang w:val="fr-FR"/>
        </w:rPr>
        <w:t>’</w:t>
      </w:r>
      <w:r w:rsidRPr="00753E56">
        <w:rPr>
          <w:lang w:val="fr-FR"/>
        </w:rPr>
        <w:t>atteindre le seuil minimum requis par la loi pour l</w:t>
      </w:r>
      <w:r w:rsidR="00753E56" w:rsidRPr="00753E56">
        <w:rPr>
          <w:lang w:val="fr-FR"/>
        </w:rPr>
        <w:t>’</w:t>
      </w:r>
      <w:r w:rsidRPr="00753E56">
        <w:rPr>
          <w:lang w:val="fr-FR"/>
        </w:rPr>
        <w:t>obtention du bénéfice.</w:t>
      </w:r>
    </w:p>
    <w:p w:rsidR="009A7AB9" w:rsidRPr="00753E56" w:rsidRDefault="009A7AB9" w:rsidP="00753E56">
      <w:pPr>
        <w:ind w:firstLine="360"/>
        <w:rPr>
          <w:lang w:val="fr-FR"/>
        </w:rPr>
      </w:pPr>
      <w:r w:rsidRPr="00753E56">
        <w:rPr>
          <w:lang w:val="fr-FR"/>
        </w:rPr>
        <w:t>31.  La requérante estime que, compte tenu de sa situation économique et sociale, l</w:t>
      </w:r>
      <w:r w:rsidR="00753E56" w:rsidRPr="00753E56">
        <w:rPr>
          <w:lang w:val="fr-FR"/>
        </w:rPr>
        <w:t>’</w:t>
      </w:r>
      <w:r w:rsidRPr="00753E56">
        <w:rPr>
          <w:lang w:val="fr-FR"/>
        </w:rPr>
        <w:t>État aurait dû lui accorder, eu égard à l</w:t>
      </w:r>
      <w:r w:rsidR="00753E56" w:rsidRPr="00753E56">
        <w:rPr>
          <w:lang w:val="fr-FR"/>
        </w:rPr>
        <w:t>’</w:t>
      </w:r>
      <w:r w:rsidRPr="00753E56">
        <w:rPr>
          <w:lang w:val="fr-FR"/>
        </w:rPr>
        <w:t>importance de la somme prélevée tout au long de sa carrière à titre de cotisations et à la non-obtention de bénéfices en contrepartie, le remboursement d</w:t>
      </w:r>
      <w:r w:rsidR="00753E56" w:rsidRPr="00753E56">
        <w:rPr>
          <w:lang w:val="fr-FR"/>
        </w:rPr>
        <w:t>’</w:t>
      </w:r>
      <w:r w:rsidRPr="00753E56">
        <w:rPr>
          <w:lang w:val="fr-FR"/>
        </w:rPr>
        <w:t>au moins une partie des sommes versées. Elle ajoute qu</w:t>
      </w:r>
      <w:r w:rsidR="00753E56" w:rsidRPr="00753E56">
        <w:rPr>
          <w:lang w:val="fr-FR"/>
        </w:rPr>
        <w:t>’</w:t>
      </w:r>
      <w:r w:rsidRPr="00753E56">
        <w:rPr>
          <w:lang w:val="fr-FR"/>
        </w:rPr>
        <w:t>elle n</w:t>
      </w:r>
      <w:r w:rsidR="00753E56" w:rsidRPr="00753E56">
        <w:rPr>
          <w:lang w:val="fr-FR"/>
        </w:rPr>
        <w:t>’</w:t>
      </w:r>
      <w:r w:rsidRPr="00753E56">
        <w:rPr>
          <w:lang w:val="fr-FR"/>
        </w:rPr>
        <w:t>a pas les moyens d</w:t>
      </w:r>
      <w:r w:rsidR="00753E56" w:rsidRPr="00753E56">
        <w:rPr>
          <w:lang w:val="fr-FR"/>
        </w:rPr>
        <w:t>’</w:t>
      </w:r>
      <w:r w:rsidRPr="00753E56">
        <w:rPr>
          <w:lang w:val="fr-FR"/>
        </w:rPr>
        <w:t>alimenter le compte de prévoyance par des versements volontaires.</w:t>
      </w:r>
    </w:p>
    <w:p w:rsidR="009A7AB9" w:rsidRPr="00753E56" w:rsidRDefault="009A7AB9" w:rsidP="00753E56">
      <w:pPr>
        <w:pStyle w:val="ECHRPara"/>
        <w:rPr>
          <w:lang w:val="fr-FR"/>
        </w:rPr>
      </w:pPr>
      <w:r w:rsidRPr="00753E56">
        <w:rPr>
          <w:lang w:val="fr-FR"/>
        </w:rPr>
        <w:t>32.  La Cour rappelle que, pour être compatible avec l</w:t>
      </w:r>
      <w:r w:rsidR="00753E56" w:rsidRPr="00753E56">
        <w:rPr>
          <w:lang w:val="fr-FR"/>
        </w:rPr>
        <w:t>’</w:t>
      </w:r>
      <w:r w:rsidRPr="00753E56">
        <w:rPr>
          <w:lang w:val="fr-FR"/>
        </w:rPr>
        <w:t>article 1 du Protocole n</w:t>
      </w:r>
      <w:r w:rsidRPr="00753E56">
        <w:rPr>
          <w:vertAlign w:val="superscript"/>
          <w:lang w:val="fr-FR"/>
        </w:rPr>
        <w:t>o</w:t>
      </w:r>
      <w:r w:rsidRPr="00753E56">
        <w:rPr>
          <w:lang w:val="fr-FR"/>
        </w:rPr>
        <w:t xml:space="preserve"> 1, une atteinte au droit d</w:t>
      </w:r>
      <w:r w:rsidR="00753E56" w:rsidRPr="00753E56">
        <w:rPr>
          <w:lang w:val="fr-FR"/>
        </w:rPr>
        <w:t>’</w:t>
      </w:r>
      <w:r w:rsidRPr="00753E56">
        <w:rPr>
          <w:lang w:val="fr-FR"/>
        </w:rPr>
        <w:t>une personne au respect de ses biens doit d</w:t>
      </w:r>
      <w:r w:rsidR="00753E56" w:rsidRPr="00753E56">
        <w:rPr>
          <w:lang w:val="fr-FR"/>
        </w:rPr>
        <w:t>’</w:t>
      </w:r>
      <w:r w:rsidRPr="00753E56">
        <w:rPr>
          <w:lang w:val="fr-FR"/>
        </w:rPr>
        <w:t>abord respecter le principe de la légalité et ne pas revêtir un caractère arbitraire (</w:t>
      </w:r>
      <w:r w:rsidRPr="00753E56">
        <w:rPr>
          <w:i/>
          <w:lang w:val="fr-FR"/>
        </w:rPr>
        <w:t>Iatridis c. Grèce</w:t>
      </w:r>
      <w:r w:rsidRPr="00753E56">
        <w:rPr>
          <w:lang w:val="fr-FR"/>
        </w:rPr>
        <w:t xml:space="preserve"> [GC], n</w:t>
      </w:r>
      <w:r w:rsidRPr="00753E56">
        <w:rPr>
          <w:vertAlign w:val="superscript"/>
          <w:lang w:val="fr-FR"/>
        </w:rPr>
        <w:t>o</w:t>
      </w:r>
      <w:r w:rsidRPr="00753E56">
        <w:rPr>
          <w:lang w:val="fr-FR"/>
        </w:rPr>
        <w:t xml:space="preserve"> 31107/96, § 58, CEDH 1999</w:t>
      </w:r>
      <w:r w:rsidRPr="00753E56">
        <w:rPr>
          <w:lang w:val="fr-FR"/>
        </w:rPr>
        <w:noBreakHyphen/>
        <w:t>II). Elle doit également poursuivre un but légitime et ménager un « juste équilibre » entre les exigences de l</w:t>
      </w:r>
      <w:r w:rsidR="00753E56" w:rsidRPr="00753E56">
        <w:rPr>
          <w:lang w:val="fr-FR"/>
        </w:rPr>
        <w:t>’</w:t>
      </w:r>
      <w:r w:rsidRPr="00753E56">
        <w:rPr>
          <w:lang w:val="fr-FR"/>
        </w:rPr>
        <w:t>intérêt général de la communauté et les impératifs de la sauvegarde des droits fondamentaux de l</w:t>
      </w:r>
      <w:r w:rsidR="00753E56" w:rsidRPr="00753E56">
        <w:rPr>
          <w:lang w:val="fr-FR"/>
        </w:rPr>
        <w:t>’</w:t>
      </w:r>
      <w:r w:rsidRPr="00753E56">
        <w:rPr>
          <w:lang w:val="fr-FR"/>
        </w:rPr>
        <w:t>individu (</w:t>
      </w:r>
      <w:r w:rsidRPr="00753E56">
        <w:rPr>
          <w:i/>
          <w:lang w:val="fr-FR"/>
        </w:rPr>
        <w:t>Sporrong et Lönnroth c. Suède</w:t>
      </w:r>
      <w:r w:rsidRPr="00753E56">
        <w:rPr>
          <w:lang w:val="fr-FR"/>
        </w:rPr>
        <w:t>, 23 septembre 1982, § 69, série A n</w:t>
      </w:r>
      <w:r w:rsidRPr="00753E56">
        <w:rPr>
          <w:vertAlign w:val="superscript"/>
          <w:lang w:val="fr-FR"/>
        </w:rPr>
        <w:t>o</w:t>
      </w:r>
      <w:r w:rsidRPr="00753E56">
        <w:rPr>
          <w:lang w:val="fr-FR"/>
        </w:rPr>
        <w:t xml:space="preserve"> 52). Même à supposer qu</w:t>
      </w:r>
      <w:r w:rsidR="00753E56" w:rsidRPr="00753E56">
        <w:rPr>
          <w:lang w:val="fr-FR"/>
        </w:rPr>
        <w:t>’</w:t>
      </w:r>
      <w:r w:rsidRPr="00753E56">
        <w:rPr>
          <w:lang w:val="fr-FR"/>
        </w:rPr>
        <w:t>en l</w:t>
      </w:r>
      <w:r w:rsidR="00753E56" w:rsidRPr="00753E56">
        <w:rPr>
          <w:lang w:val="fr-FR"/>
        </w:rPr>
        <w:t>’</w:t>
      </w:r>
      <w:r w:rsidRPr="00753E56">
        <w:rPr>
          <w:lang w:val="fr-FR"/>
        </w:rPr>
        <w:t>espèce la cotisation appartienne à la catégorie « des impôts ou d</w:t>
      </w:r>
      <w:r w:rsidR="00753E56" w:rsidRPr="00753E56">
        <w:rPr>
          <w:lang w:val="fr-FR"/>
        </w:rPr>
        <w:t>’</w:t>
      </w:r>
      <w:r w:rsidRPr="00753E56">
        <w:rPr>
          <w:lang w:val="fr-FR"/>
        </w:rPr>
        <w:t>autres contributions » (paragraphe 24 ci-dessus), il n</w:t>
      </w:r>
      <w:r w:rsidR="00753E56" w:rsidRPr="00753E56">
        <w:rPr>
          <w:lang w:val="fr-FR"/>
        </w:rPr>
        <w:t>’</w:t>
      </w:r>
      <w:r w:rsidRPr="00753E56">
        <w:rPr>
          <w:lang w:val="fr-FR"/>
        </w:rPr>
        <w:t>en reste pas moins que le « juste équilibre » doit exister lorsqu</w:t>
      </w:r>
      <w:r w:rsidR="00753E56" w:rsidRPr="00753E56">
        <w:rPr>
          <w:lang w:val="fr-FR"/>
        </w:rPr>
        <w:t>’</w:t>
      </w:r>
      <w:r w:rsidRPr="00753E56">
        <w:rPr>
          <w:lang w:val="fr-FR"/>
        </w:rPr>
        <w:t>est concerné le droit qu</w:t>
      </w:r>
      <w:r w:rsidR="00753E56" w:rsidRPr="00753E56">
        <w:rPr>
          <w:lang w:val="fr-FR"/>
        </w:rPr>
        <w:t>’</w:t>
      </w:r>
      <w:r w:rsidRPr="00753E56">
        <w:rPr>
          <w:lang w:val="fr-FR"/>
        </w:rPr>
        <w:t>ont les États de « mettre en vigueur les lois qu</w:t>
      </w:r>
      <w:r w:rsidR="00753E56" w:rsidRPr="00753E56">
        <w:rPr>
          <w:lang w:val="fr-FR"/>
        </w:rPr>
        <w:t>’</w:t>
      </w:r>
      <w:r w:rsidRPr="00753E56">
        <w:rPr>
          <w:lang w:val="fr-FR"/>
        </w:rPr>
        <w:t>ils jugent nécessaires pour (...) assurer le paiement des impôts ou d</w:t>
      </w:r>
      <w:r w:rsidR="00753E56" w:rsidRPr="00753E56">
        <w:rPr>
          <w:lang w:val="fr-FR"/>
        </w:rPr>
        <w:t>’</w:t>
      </w:r>
      <w:r w:rsidRPr="00753E56">
        <w:rPr>
          <w:lang w:val="fr-FR"/>
        </w:rPr>
        <w:t>autres contributions » (</w:t>
      </w:r>
      <w:r w:rsidRPr="00753E56">
        <w:rPr>
          <w:i/>
          <w:lang w:val="fr-FR"/>
        </w:rPr>
        <w:t>Perdigão c. Portugal</w:t>
      </w:r>
      <w:r w:rsidRPr="00753E56">
        <w:rPr>
          <w:lang w:val="fr-FR"/>
        </w:rPr>
        <w:t xml:space="preserve"> [GC], n</w:t>
      </w:r>
      <w:r w:rsidRPr="00753E56">
        <w:rPr>
          <w:vertAlign w:val="superscript"/>
          <w:lang w:val="fr-FR"/>
        </w:rPr>
        <w:t>o</w:t>
      </w:r>
      <w:r w:rsidRPr="00753E56">
        <w:rPr>
          <w:lang w:val="fr-FR"/>
        </w:rPr>
        <w:t xml:space="preserve"> 24768/06, § 64, 16 novembre 2010). En effet, comme le second alinéa doit s</w:t>
      </w:r>
      <w:r w:rsidR="00753E56" w:rsidRPr="00753E56">
        <w:rPr>
          <w:lang w:val="fr-FR"/>
        </w:rPr>
        <w:t>’</w:t>
      </w:r>
      <w:r w:rsidRPr="00753E56">
        <w:rPr>
          <w:lang w:val="fr-FR"/>
        </w:rPr>
        <w:t>interpréter à la lumière du principe général énoncé au début de l</w:t>
      </w:r>
      <w:r w:rsidR="00753E56" w:rsidRPr="00753E56">
        <w:rPr>
          <w:lang w:val="fr-FR"/>
        </w:rPr>
        <w:t>’</w:t>
      </w:r>
      <w:r w:rsidRPr="00753E56">
        <w:rPr>
          <w:lang w:val="fr-FR"/>
        </w:rPr>
        <w:t>article 1 du Protocole n</w:t>
      </w:r>
      <w:r w:rsidRPr="00753E56">
        <w:rPr>
          <w:vertAlign w:val="superscript"/>
          <w:lang w:val="fr-FR"/>
        </w:rPr>
        <w:t>o</w:t>
      </w:r>
      <w:r w:rsidRPr="00753E56">
        <w:rPr>
          <w:lang w:val="fr-FR"/>
        </w:rPr>
        <w:t xml:space="preserve"> 1, il doit exister un rapport raisonnable de proportionnalité entre les moyens employés et le but visé ; en d</w:t>
      </w:r>
      <w:r w:rsidR="00753E56" w:rsidRPr="00753E56">
        <w:rPr>
          <w:lang w:val="fr-FR"/>
        </w:rPr>
        <w:t>’</w:t>
      </w:r>
      <w:r w:rsidRPr="00753E56">
        <w:rPr>
          <w:lang w:val="fr-FR"/>
        </w:rPr>
        <w:t>autres termes, il incombe à la Cour de rechercher si l</w:t>
      </w:r>
      <w:r w:rsidR="00753E56" w:rsidRPr="00753E56">
        <w:rPr>
          <w:lang w:val="fr-FR"/>
        </w:rPr>
        <w:t>’</w:t>
      </w:r>
      <w:r w:rsidRPr="00753E56">
        <w:rPr>
          <w:lang w:val="fr-FR"/>
        </w:rPr>
        <w:t>équilibre a été maintenu entre les exigences de l</w:t>
      </w:r>
      <w:r w:rsidR="00753E56" w:rsidRPr="00753E56">
        <w:rPr>
          <w:lang w:val="fr-FR"/>
        </w:rPr>
        <w:t>’</w:t>
      </w:r>
      <w:r w:rsidRPr="00753E56">
        <w:rPr>
          <w:lang w:val="fr-FR"/>
        </w:rPr>
        <w:t>intérêt général et l</w:t>
      </w:r>
      <w:r w:rsidR="00753E56" w:rsidRPr="00753E56">
        <w:rPr>
          <w:lang w:val="fr-FR"/>
        </w:rPr>
        <w:t>’</w:t>
      </w:r>
      <w:r w:rsidRPr="00753E56">
        <w:rPr>
          <w:lang w:val="fr-FR"/>
        </w:rPr>
        <w:t>intérêt des individus concernés (</w:t>
      </w:r>
      <w:r w:rsidRPr="00753E56">
        <w:rPr>
          <w:i/>
          <w:lang w:val="fr-FR"/>
        </w:rPr>
        <w:t xml:space="preserve">Gasus </w:t>
      </w:r>
      <w:r w:rsidRPr="00753E56">
        <w:rPr>
          <w:i/>
          <w:lang w:val="fr-FR"/>
        </w:rPr>
        <w:lastRenderedPageBreak/>
        <w:t>Dosier- und Fördertechnik GmbH c. Pays-Bas</w:t>
      </w:r>
      <w:r w:rsidRPr="00753E56">
        <w:rPr>
          <w:lang w:val="fr-FR"/>
        </w:rPr>
        <w:t>, 23 février 1995, § 60, série A n</w:t>
      </w:r>
      <w:r w:rsidRPr="00753E56">
        <w:rPr>
          <w:vertAlign w:val="superscript"/>
          <w:lang w:val="fr-FR"/>
        </w:rPr>
        <w:t>o</w:t>
      </w:r>
      <w:r w:rsidRPr="00753E56">
        <w:rPr>
          <w:lang w:val="fr-FR"/>
        </w:rPr>
        <w:t xml:space="preserve"> 306</w:t>
      </w:r>
      <w:r w:rsidRPr="00753E56">
        <w:rPr>
          <w:lang w:val="fr-FR"/>
        </w:rPr>
        <w:noBreakHyphen/>
        <w:t xml:space="preserve">B, et </w:t>
      </w:r>
      <w:r w:rsidRPr="00753E56">
        <w:rPr>
          <w:i/>
          <w:lang w:val="fr-FR" w:eastAsia="fr-FR"/>
        </w:rPr>
        <w:t>Melo Tadeu</w:t>
      </w:r>
      <w:r w:rsidRPr="00753E56">
        <w:rPr>
          <w:lang w:val="fr-FR" w:eastAsia="fr-FR"/>
        </w:rPr>
        <w:t xml:space="preserve"> </w:t>
      </w:r>
      <w:r w:rsidRPr="00753E56">
        <w:rPr>
          <w:i/>
          <w:lang w:val="fr-FR" w:eastAsia="fr-FR"/>
        </w:rPr>
        <w:t>c. Portugal</w:t>
      </w:r>
      <w:r w:rsidRPr="00753E56">
        <w:rPr>
          <w:snapToGrid w:val="0"/>
          <w:lang w:val="fr-FR" w:eastAsia="fr-FR"/>
        </w:rPr>
        <w:t xml:space="preserve">, </w:t>
      </w:r>
      <w:r w:rsidRPr="00753E56">
        <w:rPr>
          <w:lang w:val="fr-FR" w:eastAsia="fr-FR"/>
        </w:rPr>
        <w:t>n</w:t>
      </w:r>
      <w:r w:rsidRPr="00753E56">
        <w:rPr>
          <w:vertAlign w:val="superscript"/>
          <w:lang w:val="fr-FR" w:eastAsia="fr-FR"/>
        </w:rPr>
        <w:t>o</w:t>
      </w:r>
      <w:r w:rsidRPr="00753E56">
        <w:rPr>
          <w:lang w:val="fr-FR" w:eastAsia="fr-FR"/>
        </w:rPr>
        <w:t xml:space="preserve"> 27785/10</w:t>
      </w:r>
      <w:r w:rsidRPr="00753E56">
        <w:rPr>
          <w:snapToGrid w:val="0"/>
          <w:lang w:val="fr-FR" w:eastAsia="fr-FR"/>
        </w:rPr>
        <w:t>, §§ 77-78, 23 </w:t>
      </w:r>
      <w:r w:rsidRPr="00753E56">
        <w:rPr>
          <w:lang w:val="fr-FR" w:eastAsia="fr-FR"/>
        </w:rPr>
        <w:t>octobre</w:t>
      </w:r>
      <w:r w:rsidRPr="00753E56">
        <w:rPr>
          <w:snapToGrid w:val="0"/>
          <w:lang w:val="fr-FR" w:eastAsia="fr-FR"/>
        </w:rPr>
        <w:t> 2014)</w:t>
      </w:r>
    </w:p>
    <w:p w:rsidR="009A7AB9" w:rsidRPr="00753E56" w:rsidRDefault="009A7AB9" w:rsidP="00753E56">
      <w:pPr>
        <w:ind w:firstLine="360"/>
        <w:rPr>
          <w:szCs w:val="24"/>
          <w:lang w:val="fr-FR"/>
        </w:rPr>
      </w:pPr>
      <w:r w:rsidRPr="00753E56">
        <w:rPr>
          <w:szCs w:val="24"/>
          <w:lang w:val="fr-FR"/>
        </w:rPr>
        <w:t>33.  Tout d</w:t>
      </w:r>
      <w:r w:rsidR="00753E56" w:rsidRPr="00753E56">
        <w:rPr>
          <w:szCs w:val="24"/>
          <w:lang w:val="fr-FR"/>
        </w:rPr>
        <w:t>’</w:t>
      </w:r>
      <w:r w:rsidRPr="00753E56">
        <w:rPr>
          <w:szCs w:val="24"/>
          <w:lang w:val="fr-FR"/>
        </w:rPr>
        <w:t>abord, la Cour ne doute pas de la légitimité du but visé par l</w:t>
      </w:r>
      <w:r w:rsidR="00753E56" w:rsidRPr="00753E56">
        <w:rPr>
          <w:szCs w:val="24"/>
          <w:lang w:val="fr-FR"/>
        </w:rPr>
        <w:t>’</w:t>
      </w:r>
      <w:r w:rsidRPr="00753E56">
        <w:rPr>
          <w:szCs w:val="24"/>
          <w:lang w:val="fr-FR"/>
        </w:rPr>
        <w:t>ingérence, à savoir assurer le financement du système d</w:t>
      </w:r>
      <w:r w:rsidR="00753E56" w:rsidRPr="00753E56">
        <w:rPr>
          <w:szCs w:val="24"/>
          <w:lang w:val="fr-FR"/>
        </w:rPr>
        <w:t>’</w:t>
      </w:r>
      <w:r w:rsidRPr="00753E56">
        <w:rPr>
          <w:szCs w:val="24"/>
          <w:lang w:val="fr-FR"/>
        </w:rPr>
        <w:t>assurance sur la base du principe de solidarité, ce qui n</w:t>
      </w:r>
      <w:r w:rsidR="00753E56" w:rsidRPr="00753E56">
        <w:rPr>
          <w:szCs w:val="24"/>
          <w:lang w:val="fr-FR"/>
        </w:rPr>
        <w:t>’</w:t>
      </w:r>
      <w:r w:rsidRPr="00753E56">
        <w:rPr>
          <w:szCs w:val="24"/>
          <w:lang w:val="fr-FR"/>
        </w:rPr>
        <w:t>a pas non plus été contesté par la requérante.</w:t>
      </w:r>
    </w:p>
    <w:p w:rsidR="009A7AB9" w:rsidRPr="00753E56" w:rsidRDefault="009A7AB9" w:rsidP="00753E56">
      <w:pPr>
        <w:ind w:firstLine="360"/>
        <w:rPr>
          <w:lang w:val="fr-FR"/>
        </w:rPr>
      </w:pPr>
      <w:r w:rsidRPr="00753E56">
        <w:rPr>
          <w:lang w:val="fr-FR"/>
        </w:rPr>
        <w:t xml:space="preserve">34.  Ensuite, </w:t>
      </w:r>
      <w:r w:rsidRPr="00753E56">
        <w:rPr>
          <w:szCs w:val="24"/>
          <w:lang w:val="fr-FR"/>
        </w:rPr>
        <w:t>quant à</w:t>
      </w:r>
      <w:r w:rsidRPr="00753E56">
        <w:rPr>
          <w:lang w:val="fr-FR"/>
        </w:rPr>
        <w:t xml:space="preserve"> la proportionnalité entre les moyens employés et le but visé, la Cour note que l</w:t>
      </w:r>
      <w:r w:rsidR="00753E56" w:rsidRPr="00753E56">
        <w:rPr>
          <w:lang w:val="fr-FR"/>
        </w:rPr>
        <w:t>’</w:t>
      </w:r>
      <w:r w:rsidRPr="00753E56">
        <w:rPr>
          <w:lang w:val="fr-FR"/>
        </w:rPr>
        <w:t>argument principal du Gouvernement consiste à dire, en substance, que l</w:t>
      </w:r>
      <w:r w:rsidR="00753E56" w:rsidRPr="00753E56">
        <w:rPr>
          <w:lang w:val="fr-FR"/>
        </w:rPr>
        <w:t>’</w:t>
      </w:r>
      <w:r w:rsidRPr="00753E56">
        <w:rPr>
          <w:lang w:val="fr-FR"/>
        </w:rPr>
        <w:t>ingérence est justifiée au motif que le système de cotisation est conforme au principe de solidarité.</w:t>
      </w:r>
    </w:p>
    <w:p w:rsidR="009A7AB9" w:rsidRPr="00753E56" w:rsidRDefault="009A7AB9" w:rsidP="00753E56">
      <w:pPr>
        <w:ind w:firstLine="360"/>
        <w:rPr>
          <w:color w:val="000000"/>
          <w:szCs w:val="24"/>
          <w:lang w:val="fr-FR"/>
        </w:rPr>
      </w:pPr>
      <w:r w:rsidRPr="00753E56">
        <w:rPr>
          <w:lang w:val="fr-FR"/>
        </w:rPr>
        <w:t xml:space="preserve">35.  La Cour note que, </w:t>
      </w:r>
      <w:r w:rsidRPr="00753E56">
        <w:rPr>
          <w:szCs w:val="24"/>
          <w:lang w:val="fr-FR"/>
        </w:rPr>
        <w:t xml:space="preserve">selon la Cour constitutionnelle, italienne, </w:t>
      </w:r>
      <w:r w:rsidRPr="00753E56">
        <w:rPr>
          <w:lang w:val="fr-FR"/>
        </w:rPr>
        <w:t>le principe du non-remboursement des cotisations et les principes plus généraux de « l</w:t>
      </w:r>
      <w:r w:rsidR="00753E56" w:rsidRPr="00753E56">
        <w:rPr>
          <w:lang w:val="fr-FR"/>
        </w:rPr>
        <w:t>’</w:t>
      </w:r>
      <w:r w:rsidRPr="00753E56">
        <w:rPr>
          <w:lang w:val="fr-FR"/>
        </w:rPr>
        <w:t>indisponibilité des cotisations » à la caisse d</w:t>
      </w:r>
      <w:r w:rsidR="00753E56" w:rsidRPr="00753E56">
        <w:rPr>
          <w:lang w:val="fr-FR"/>
        </w:rPr>
        <w:t>’</w:t>
      </w:r>
      <w:r w:rsidRPr="00753E56">
        <w:rPr>
          <w:lang w:val="fr-FR"/>
        </w:rPr>
        <w:t>assurance vieillesse et de la non-corrélation entre les cotisations versées et les prestations servies non seulement sont compatibles avec le modèle solidaire, mais découlent de la structure même de ce modèle. Ainsi, il ressort de la jurisprudence de la Cour constitutionnelle que le législateur jouit d</w:t>
      </w:r>
      <w:r w:rsidR="00753E56" w:rsidRPr="00753E56">
        <w:rPr>
          <w:lang w:val="fr-FR"/>
        </w:rPr>
        <w:t>’</w:t>
      </w:r>
      <w:r w:rsidRPr="00753E56">
        <w:rPr>
          <w:lang w:val="fr-FR"/>
        </w:rPr>
        <w:t>une marge discrétionnaire presque totale dans la manière de ménager l</w:t>
      </w:r>
      <w:r w:rsidR="00753E56" w:rsidRPr="00753E56">
        <w:rPr>
          <w:lang w:val="fr-FR"/>
        </w:rPr>
        <w:t>’</w:t>
      </w:r>
      <w:r w:rsidRPr="00753E56">
        <w:rPr>
          <w:lang w:val="fr-FR"/>
        </w:rPr>
        <w:t>équilibre entre les différents intérêts en jeu : il peut établir les catégories des individus concernés et déterminer si et dans quelle mesure ces individus ont droit à la restitution de leurs cotisations (voir « Le droit et la pratique internes pertinents »).</w:t>
      </w:r>
    </w:p>
    <w:p w:rsidR="009A7AB9" w:rsidRPr="00753E56" w:rsidRDefault="009A7AB9" w:rsidP="00753E56">
      <w:pPr>
        <w:ind w:firstLine="360"/>
        <w:rPr>
          <w:color w:val="000000"/>
          <w:szCs w:val="24"/>
          <w:lang w:val="fr-FR" w:eastAsia="en-GB"/>
        </w:rPr>
      </w:pPr>
      <w:r w:rsidRPr="00753E56">
        <w:rPr>
          <w:color w:val="000000"/>
          <w:szCs w:val="24"/>
          <w:lang w:val="fr-FR"/>
        </w:rPr>
        <w:t>36.  </w:t>
      </w:r>
      <w:r w:rsidRPr="00753E56">
        <w:rPr>
          <w:color w:val="000000"/>
          <w:szCs w:val="24"/>
          <w:lang w:val="fr-FR" w:eastAsia="en-GB"/>
        </w:rPr>
        <w:t>La Cour rappelle quant à elle qu</w:t>
      </w:r>
      <w:r w:rsidR="00753E56" w:rsidRPr="00753E56">
        <w:rPr>
          <w:color w:val="000000"/>
          <w:szCs w:val="24"/>
          <w:lang w:val="fr-FR" w:eastAsia="en-GB"/>
        </w:rPr>
        <w:t>’</w:t>
      </w:r>
      <w:r w:rsidRPr="00753E56">
        <w:rPr>
          <w:color w:val="000000"/>
          <w:szCs w:val="24"/>
          <w:lang w:val="fr-FR" w:eastAsia="en-GB"/>
        </w:rPr>
        <w:t>une large marge d</w:t>
      </w:r>
      <w:r w:rsidR="00753E56" w:rsidRPr="00753E56">
        <w:rPr>
          <w:color w:val="000000"/>
          <w:szCs w:val="24"/>
          <w:lang w:val="fr-FR" w:eastAsia="en-GB"/>
        </w:rPr>
        <w:t>’</w:t>
      </w:r>
      <w:r w:rsidRPr="00753E56">
        <w:rPr>
          <w:color w:val="000000"/>
          <w:szCs w:val="24"/>
          <w:lang w:val="fr-FR" w:eastAsia="en-GB"/>
        </w:rPr>
        <w:t>appréciation doit être laissée à l</w:t>
      </w:r>
      <w:r w:rsidR="00753E56" w:rsidRPr="00753E56">
        <w:rPr>
          <w:color w:val="000000"/>
          <w:szCs w:val="24"/>
          <w:lang w:val="fr-FR" w:eastAsia="en-GB"/>
        </w:rPr>
        <w:t>’</w:t>
      </w:r>
      <w:r w:rsidRPr="00753E56">
        <w:rPr>
          <w:color w:val="000000"/>
          <w:szCs w:val="24"/>
          <w:lang w:val="fr-FR" w:eastAsia="en-GB"/>
        </w:rPr>
        <w:t>État dans la prise de mesures d</w:t>
      </w:r>
      <w:r w:rsidR="00753E56" w:rsidRPr="00753E56">
        <w:rPr>
          <w:color w:val="000000"/>
          <w:szCs w:val="24"/>
          <w:lang w:val="fr-FR" w:eastAsia="en-GB"/>
        </w:rPr>
        <w:t>’</w:t>
      </w:r>
      <w:r w:rsidRPr="00753E56">
        <w:rPr>
          <w:color w:val="000000"/>
          <w:szCs w:val="24"/>
          <w:lang w:val="fr-FR" w:eastAsia="en-GB"/>
        </w:rPr>
        <w:t xml:space="preserve">ordre général en matière économique ou sociale (voir, par exemple, </w:t>
      </w:r>
      <w:r w:rsidRPr="00753E56">
        <w:rPr>
          <w:i/>
          <w:iCs/>
          <w:color w:val="000000"/>
          <w:szCs w:val="24"/>
          <w:lang w:val="fr-FR" w:eastAsia="en-GB"/>
        </w:rPr>
        <w:t>James et autres c. Royaume-Uni</w:t>
      </w:r>
      <w:r w:rsidRPr="00753E56">
        <w:rPr>
          <w:color w:val="000000"/>
          <w:szCs w:val="24"/>
          <w:lang w:val="fr-FR" w:eastAsia="en-GB"/>
        </w:rPr>
        <w:t xml:space="preserve">, arrêt du 21 février 1986, § 46, série A </w:t>
      </w:r>
      <w:r w:rsidRPr="00753E56">
        <w:rPr>
          <w:color w:val="000000"/>
          <w:szCs w:val="24"/>
          <w:lang w:val="fr-FR"/>
        </w:rPr>
        <w:t>n</w:t>
      </w:r>
      <w:r w:rsidRPr="00753E56">
        <w:rPr>
          <w:color w:val="000000"/>
          <w:szCs w:val="24"/>
          <w:vertAlign w:val="superscript"/>
          <w:lang w:val="fr-FR"/>
        </w:rPr>
        <w:t>o</w:t>
      </w:r>
      <w:r w:rsidRPr="00753E56" w:rsidDel="007F6DAF">
        <w:rPr>
          <w:color w:val="000000"/>
          <w:szCs w:val="24"/>
          <w:lang w:val="fr-FR" w:eastAsia="en-GB"/>
        </w:rPr>
        <w:t xml:space="preserve"> </w:t>
      </w:r>
      <w:r w:rsidRPr="00753E56">
        <w:rPr>
          <w:color w:val="000000"/>
          <w:szCs w:val="24"/>
          <w:lang w:val="fr-FR" w:eastAsia="en-GB"/>
        </w:rPr>
        <w:t>98, </w:t>
      </w:r>
      <w:r w:rsidRPr="00753E56">
        <w:rPr>
          <w:i/>
          <w:iCs/>
          <w:color w:val="000000"/>
          <w:szCs w:val="24"/>
          <w:lang w:val="fr-FR" w:eastAsia="en-GB"/>
        </w:rPr>
        <w:t>National and Provincial Building Society et autres c. Royaume-Uni</w:t>
      </w:r>
      <w:r w:rsidRPr="00753E56">
        <w:rPr>
          <w:color w:val="000000"/>
          <w:szCs w:val="24"/>
          <w:lang w:val="fr-FR" w:eastAsia="en-GB"/>
        </w:rPr>
        <w:t xml:space="preserve">, 23 octobre 1997, § 80, </w:t>
      </w:r>
      <w:r w:rsidRPr="00753E56">
        <w:rPr>
          <w:i/>
          <w:iCs/>
          <w:color w:val="000000"/>
          <w:szCs w:val="24"/>
          <w:lang w:val="fr-FR" w:eastAsia="en-GB"/>
        </w:rPr>
        <w:t xml:space="preserve">Recueil </w:t>
      </w:r>
      <w:r w:rsidRPr="00753E56">
        <w:rPr>
          <w:color w:val="000000"/>
          <w:szCs w:val="24"/>
          <w:lang w:val="fr-FR" w:eastAsia="en-GB"/>
        </w:rPr>
        <w:t xml:space="preserve">1997-VII et </w:t>
      </w:r>
      <w:r w:rsidRPr="00753E56">
        <w:rPr>
          <w:i/>
          <w:color w:val="000000"/>
          <w:szCs w:val="24"/>
          <w:lang w:val="fr-FR" w:eastAsia="en-GB"/>
        </w:rPr>
        <w:t>Jankovic</w:t>
      </w:r>
      <w:r w:rsidRPr="00753E56">
        <w:rPr>
          <w:color w:val="000000"/>
          <w:szCs w:val="24"/>
          <w:lang w:val="fr-FR" w:eastAsia="en-GB"/>
        </w:rPr>
        <w:t>, précitée).</w:t>
      </w:r>
    </w:p>
    <w:p w:rsidR="009A7AB9" w:rsidRPr="00753E56" w:rsidRDefault="009A7AB9" w:rsidP="00753E56">
      <w:pPr>
        <w:ind w:firstLine="360"/>
        <w:rPr>
          <w:color w:val="000000"/>
          <w:szCs w:val="24"/>
          <w:lang w:val="fr-FR" w:eastAsia="en-GB"/>
        </w:rPr>
      </w:pPr>
      <w:r w:rsidRPr="00753E56">
        <w:rPr>
          <w:color w:val="000000"/>
          <w:szCs w:val="24"/>
          <w:lang w:val="fr-FR" w:eastAsia="en-GB"/>
        </w:rPr>
        <w:t>37.  L</w:t>
      </w:r>
      <w:r w:rsidR="00753E56" w:rsidRPr="00753E56">
        <w:rPr>
          <w:color w:val="000000"/>
          <w:szCs w:val="24"/>
          <w:lang w:val="fr-FR" w:eastAsia="en-GB"/>
        </w:rPr>
        <w:t>’</w:t>
      </w:r>
      <w:r w:rsidRPr="00753E56">
        <w:rPr>
          <w:color w:val="000000"/>
          <w:szCs w:val="24"/>
          <w:lang w:val="fr-FR" w:eastAsia="en-GB"/>
        </w:rPr>
        <w:t>article 1 du Protocole n</w:t>
      </w:r>
      <w:r w:rsidRPr="00753E56">
        <w:rPr>
          <w:color w:val="000000"/>
          <w:szCs w:val="24"/>
          <w:vertAlign w:val="superscript"/>
          <w:lang w:val="fr-FR" w:eastAsia="en-GB"/>
        </w:rPr>
        <w:t>o</w:t>
      </w:r>
      <w:r w:rsidRPr="00753E56">
        <w:rPr>
          <w:color w:val="000000"/>
          <w:szCs w:val="24"/>
          <w:lang w:val="fr-FR" w:eastAsia="en-GB"/>
        </w:rPr>
        <w:t xml:space="preserve"> 1 n</w:t>
      </w:r>
      <w:r w:rsidR="00753E56" w:rsidRPr="00753E56">
        <w:rPr>
          <w:color w:val="000000"/>
          <w:szCs w:val="24"/>
          <w:lang w:val="fr-FR" w:eastAsia="en-GB"/>
        </w:rPr>
        <w:t>’</w:t>
      </w:r>
      <w:r w:rsidRPr="00753E56">
        <w:rPr>
          <w:color w:val="000000"/>
          <w:szCs w:val="24"/>
          <w:lang w:val="fr-FR" w:eastAsia="en-GB"/>
        </w:rPr>
        <w:t>impose ainsi aucune restriction à la liberté pour les États contractants de décider d</w:t>
      </w:r>
      <w:r w:rsidR="00753E56" w:rsidRPr="00753E56">
        <w:rPr>
          <w:color w:val="000000"/>
          <w:szCs w:val="24"/>
          <w:lang w:val="fr-FR" w:eastAsia="en-GB"/>
        </w:rPr>
        <w:t>’</w:t>
      </w:r>
      <w:r w:rsidRPr="00753E56">
        <w:rPr>
          <w:color w:val="000000"/>
          <w:szCs w:val="24"/>
          <w:lang w:val="fr-FR" w:eastAsia="en-GB"/>
        </w:rPr>
        <w:t>instaurer ou non un régime de protection sociale ou de choisir le type ou le niveau des prestations censées être accordées au titre d</w:t>
      </w:r>
      <w:r w:rsidR="00753E56" w:rsidRPr="00753E56">
        <w:rPr>
          <w:color w:val="000000"/>
          <w:szCs w:val="24"/>
          <w:lang w:val="fr-FR" w:eastAsia="en-GB"/>
        </w:rPr>
        <w:t>’</w:t>
      </w:r>
      <w:r w:rsidRPr="00753E56">
        <w:rPr>
          <w:color w:val="000000"/>
          <w:szCs w:val="24"/>
          <w:lang w:val="fr-FR" w:eastAsia="en-GB"/>
        </w:rPr>
        <w:t xml:space="preserve">un tel régime. De même, pour ce qui est des choix concernant le </w:t>
      </w:r>
      <w:r w:rsidRPr="00753E56">
        <w:rPr>
          <w:lang w:val="fr-FR"/>
        </w:rPr>
        <w:t>système de retraite,</w:t>
      </w:r>
      <w:r w:rsidRPr="00753E56">
        <w:rPr>
          <w:color w:val="000000"/>
          <w:szCs w:val="24"/>
          <w:lang w:val="fr-FR" w:eastAsia="en-GB"/>
        </w:rPr>
        <w:t xml:space="preserve"> la Convention n</w:t>
      </w:r>
      <w:r w:rsidR="00753E56" w:rsidRPr="00753E56">
        <w:rPr>
          <w:color w:val="000000"/>
          <w:szCs w:val="24"/>
          <w:lang w:val="fr-FR" w:eastAsia="en-GB"/>
        </w:rPr>
        <w:t>’</w:t>
      </w:r>
      <w:r w:rsidRPr="00753E56">
        <w:rPr>
          <w:color w:val="000000"/>
          <w:szCs w:val="24"/>
          <w:lang w:val="fr-FR" w:eastAsia="en-GB"/>
        </w:rPr>
        <w:t>impose pas aux États l</w:t>
      </w:r>
      <w:r w:rsidR="00753E56" w:rsidRPr="00753E56">
        <w:rPr>
          <w:color w:val="000000"/>
          <w:szCs w:val="24"/>
          <w:lang w:val="fr-FR" w:eastAsia="en-GB"/>
        </w:rPr>
        <w:t>’</w:t>
      </w:r>
      <w:r w:rsidRPr="00753E56">
        <w:rPr>
          <w:color w:val="000000"/>
          <w:szCs w:val="24"/>
          <w:lang w:val="fr-FR" w:eastAsia="en-GB"/>
        </w:rPr>
        <w:t>adoption d</w:t>
      </w:r>
      <w:r w:rsidR="00753E56" w:rsidRPr="00753E56">
        <w:rPr>
          <w:color w:val="000000"/>
          <w:szCs w:val="24"/>
          <w:lang w:val="fr-FR" w:eastAsia="en-GB"/>
        </w:rPr>
        <w:t>’</w:t>
      </w:r>
      <w:r w:rsidRPr="00753E56">
        <w:rPr>
          <w:color w:val="000000"/>
          <w:szCs w:val="24"/>
          <w:lang w:val="fr-FR" w:eastAsia="en-GB"/>
        </w:rPr>
        <w:t>un modèle spécifique – solidaire, mutualiste ou autre – ni</w:t>
      </w:r>
      <w:r w:rsidRPr="00753E56">
        <w:rPr>
          <w:lang w:val="fr-FR"/>
        </w:rPr>
        <w:t xml:space="preserve"> la manière dont un État décide de le financer.</w:t>
      </w:r>
      <w:r w:rsidRPr="00753E56">
        <w:rPr>
          <w:color w:val="000000"/>
          <w:szCs w:val="24"/>
          <w:lang w:val="fr-FR" w:eastAsia="en-GB"/>
        </w:rPr>
        <w:t xml:space="preserve"> Les États sont libres de choisir le système de retraite qu</w:t>
      </w:r>
      <w:r w:rsidR="00753E56" w:rsidRPr="00753E56">
        <w:rPr>
          <w:color w:val="000000"/>
          <w:szCs w:val="24"/>
          <w:lang w:val="fr-FR" w:eastAsia="en-GB"/>
        </w:rPr>
        <w:t>’</w:t>
      </w:r>
      <w:r w:rsidRPr="00753E56">
        <w:rPr>
          <w:color w:val="000000"/>
          <w:szCs w:val="24"/>
          <w:lang w:val="fr-FR" w:eastAsia="en-GB"/>
        </w:rPr>
        <w:t>ils estiment être le plus conforme aux exigences politiques, économiques et sociales.</w:t>
      </w:r>
    </w:p>
    <w:p w:rsidR="009A7AB9" w:rsidRPr="00753E56" w:rsidRDefault="009A7AB9" w:rsidP="00753E56">
      <w:pPr>
        <w:ind w:firstLine="360"/>
        <w:rPr>
          <w:color w:val="000000"/>
          <w:szCs w:val="24"/>
          <w:lang w:val="fr-FR" w:eastAsia="en-GB"/>
        </w:rPr>
      </w:pPr>
      <w:r w:rsidRPr="00753E56">
        <w:rPr>
          <w:color w:val="000000"/>
          <w:szCs w:val="24"/>
          <w:lang w:val="fr-FR"/>
        </w:rPr>
        <w:t>38.  La Cour note tout d</w:t>
      </w:r>
      <w:r w:rsidR="00753E56" w:rsidRPr="00753E56">
        <w:rPr>
          <w:color w:val="000000"/>
          <w:szCs w:val="24"/>
          <w:lang w:val="fr-FR"/>
        </w:rPr>
        <w:t>’</w:t>
      </w:r>
      <w:r w:rsidRPr="00753E56">
        <w:rPr>
          <w:color w:val="000000"/>
          <w:szCs w:val="24"/>
          <w:lang w:val="fr-FR"/>
        </w:rPr>
        <w:t>abord que la loi reconnait le droit à la pension aux fonctionnaires qui ont travaillé au moins pendant quinze ans (paragraphe 6 ci-dessus). Ensuite, elle remarque qu</w:t>
      </w:r>
      <w:r w:rsidR="00753E56" w:rsidRPr="00753E56">
        <w:rPr>
          <w:color w:val="000000"/>
          <w:szCs w:val="24"/>
          <w:lang w:val="fr-FR"/>
        </w:rPr>
        <w:t>’</w:t>
      </w:r>
      <w:r w:rsidRPr="00753E56">
        <w:rPr>
          <w:color w:val="000000"/>
          <w:szCs w:val="24"/>
          <w:lang w:val="fr-FR"/>
        </w:rPr>
        <w:t>en l</w:t>
      </w:r>
      <w:r w:rsidR="00753E56" w:rsidRPr="00753E56">
        <w:rPr>
          <w:color w:val="000000"/>
          <w:szCs w:val="24"/>
          <w:lang w:val="fr-FR"/>
        </w:rPr>
        <w:t>’</w:t>
      </w:r>
      <w:r w:rsidRPr="00753E56">
        <w:rPr>
          <w:color w:val="000000"/>
          <w:szCs w:val="24"/>
          <w:lang w:val="fr-FR"/>
        </w:rPr>
        <w:t>espèce la requérante a cotisé pendant environ dix ans, ce que ne lui a pas permis de satisfaire les critères pour l</w:t>
      </w:r>
      <w:r w:rsidR="00753E56" w:rsidRPr="00753E56">
        <w:rPr>
          <w:color w:val="000000"/>
          <w:szCs w:val="24"/>
          <w:lang w:val="fr-FR"/>
        </w:rPr>
        <w:t>’</w:t>
      </w:r>
      <w:r w:rsidRPr="00753E56">
        <w:rPr>
          <w:color w:val="000000"/>
          <w:szCs w:val="24"/>
          <w:lang w:val="fr-FR"/>
        </w:rPr>
        <w:t xml:space="preserve">obtention de la pension. Enfin, elle constate que </w:t>
      </w:r>
      <w:r w:rsidRPr="00753E56">
        <w:rPr>
          <w:color w:val="000000"/>
          <w:szCs w:val="24"/>
          <w:lang w:val="fr-FR"/>
        </w:rPr>
        <w:lastRenderedPageBreak/>
        <w:t>la requérante a commencé à travailler, et donc à cotiser, à un moment où il était déjà certain qu</w:t>
      </w:r>
      <w:r w:rsidR="00753E56" w:rsidRPr="00753E56">
        <w:rPr>
          <w:color w:val="000000"/>
          <w:szCs w:val="24"/>
          <w:lang w:val="fr-FR"/>
        </w:rPr>
        <w:t>’</w:t>
      </w:r>
      <w:r w:rsidRPr="00753E56">
        <w:rPr>
          <w:color w:val="000000"/>
          <w:szCs w:val="24"/>
          <w:lang w:val="fr-FR"/>
        </w:rPr>
        <w:t>elle n</w:t>
      </w:r>
      <w:r w:rsidR="00753E56" w:rsidRPr="00753E56">
        <w:rPr>
          <w:color w:val="000000"/>
          <w:szCs w:val="24"/>
          <w:lang w:val="fr-FR"/>
        </w:rPr>
        <w:t>’</w:t>
      </w:r>
      <w:r w:rsidRPr="00753E56">
        <w:rPr>
          <w:color w:val="000000"/>
          <w:szCs w:val="24"/>
          <w:lang w:val="fr-FR"/>
        </w:rPr>
        <w:t>obtiendrait pas un droit à pension.</w:t>
      </w:r>
    </w:p>
    <w:p w:rsidR="009A7AB9" w:rsidRPr="00753E56" w:rsidRDefault="009A7AB9" w:rsidP="00753E56">
      <w:pPr>
        <w:pStyle w:val="ECHRPara"/>
        <w:rPr>
          <w:lang w:val="fr-FR"/>
        </w:rPr>
      </w:pPr>
      <w:r w:rsidRPr="00753E56">
        <w:rPr>
          <w:color w:val="000000"/>
          <w:szCs w:val="24"/>
          <w:lang w:val="fr-FR" w:eastAsia="en-GB"/>
        </w:rPr>
        <w:t>39.  S</w:t>
      </w:r>
      <w:r w:rsidR="00753E56" w:rsidRPr="00753E56">
        <w:rPr>
          <w:color w:val="000000"/>
          <w:szCs w:val="24"/>
          <w:lang w:val="fr-FR" w:eastAsia="en-GB"/>
        </w:rPr>
        <w:t>’</w:t>
      </w:r>
      <w:r w:rsidRPr="00753E56">
        <w:rPr>
          <w:color w:val="000000"/>
          <w:szCs w:val="24"/>
          <w:lang w:val="fr-FR" w:eastAsia="en-GB"/>
        </w:rPr>
        <w:t>il n</w:t>
      </w:r>
      <w:r w:rsidR="00753E56" w:rsidRPr="00753E56">
        <w:rPr>
          <w:color w:val="000000"/>
          <w:szCs w:val="24"/>
          <w:lang w:val="fr-FR" w:eastAsia="en-GB"/>
        </w:rPr>
        <w:t>’</w:t>
      </w:r>
      <w:r w:rsidRPr="00753E56">
        <w:rPr>
          <w:color w:val="000000"/>
          <w:szCs w:val="24"/>
          <w:lang w:val="fr-FR" w:eastAsia="en-GB"/>
        </w:rPr>
        <w:t>appartient pas à la Cour de spéculer sur les raisons qui ont poussé la requérante à commencer à travailler à un âge trop avancé pour pouvoir obtenir le droit à la pension, elle estime qu</w:t>
      </w:r>
      <w:r w:rsidR="00753E56" w:rsidRPr="00753E56">
        <w:rPr>
          <w:color w:val="000000"/>
          <w:szCs w:val="24"/>
          <w:lang w:val="fr-FR" w:eastAsia="en-GB"/>
        </w:rPr>
        <w:t>’</w:t>
      </w:r>
      <w:r w:rsidRPr="00753E56">
        <w:rPr>
          <w:color w:val="000000"/>
          <w:szCs w:val="24"/>
          <w:lang w:val="fr-FR" w:eastAsia="en-GB"/>
        </w:rPr>
        <w:t>il est certain que la décision litigieuse n</w:t>
      </w:r>
      <w:r w:rsidR="00753E56" w:rsidRPr="00753E56">
        <w:rPr>
          <w:color w:val="000000"/>
          <w:szCs w:val="24"/>
          <w:lang w:val="fr-FR" w:eastAsia="en-GB"/>
        </w:rPr>
        <w:t>’</w:t>
      </w:r>
      <w:r w:rsidRPr="00753E56">
        <w:rPr>
          <w:color w:val="000000"/>
          <w:szCs w:val="24"/>
          <w:lang w:val="fr-FR" w:eastAsia="en-GB"/>
        </w:rPr>
        <w:t>a pas constitué une surprise et qu</w:t>
      </w:r>
      <w:r w:rsidR="00753E56" w:rsidRPr="00753E56">
        <w:rPr>
          <w:color w:val="000000"/>
          <w:szCs w:val="24"/>
          <w:lang w:val="fr-FR" w:eastAsia="en-GB"/>
        </w:rPr>
        <w:t>’</w:t>
      </w:r>
      <w:r w:rsidRPr="00753E56">
        <w:rPr>
          <w:color w:val="000000"/>
          <w:szCs w:val="24"/>
          <w:lang w:val="fr-FR" w:eastAsia="en-GB"/>
        </w:rPr>
        <w:t>elle était entièrement prévisible (</w:t>
      </w:r>
      <w:r w:rsidRPr="00753E56">
        <w:rPr>
          <w:i/>
          <w:color w:val="000000"/>
          <w:szCs w:val="24"/>
          <w:lang w:val="fr-FR" w:eastAsia="en-GB"/>
        </w:rPr>
        <w:t>mutatis mutandis</w:t>
      </w:r>
      <w:r w:rsidRPr="00753E56">
        <w:rPr>
          <w:color w:val="000000"/>
          <w:szCs w:val="24"/>
          <w:lang w:val="fr-FR" w:eastAsia="en-GB"/>
        </w:rPr>
        <w:t xml:space="preserve">, </w:t>
      </w:r>
      <w:r w:rsidRPr="00753E56">
        <w:rPr>
          <w:i/>
          <w:color w:val="000000"/>
          <w:szCs w:val="24"/>
          <w:lang w:val="fr-FR" w:eastAsia="en-GB"/>
        </w:rPr>
        <w:t xml:space="preserve">Łącz c. Pologne </w:t>
      </w:r>
      <w:r w:rsidRPr="00753E56">
        <w:rPr>
          <w:color w:val="000000"/>
          <w:szCs w:val="24"/>
          <w:lang w:val="fr-FR" w:eastAsia="en-GB"/>
        </w:rPr>
        <w:t>(déc.), n</w:t>
      </w:r>
      <w:r w:rsidRPr="00753E56">
        <w:rPr>
          <w:color w:val="000000"/>
          <w:szCs w:val="24"/>
          <w:vertAlign w:val="superscript"/>
          <w:lang w:val="fr-FR" w:eastAsia="en-GB"/>
        </w:rPr>
        <w:t>o</w:t>
      </w:r>
      <w:r w:rsidR="00B433F5" w:rsidRPr="00753E56">
        <w:rPr>
          <w:color w:val="000000"/>
          <w:szCs w:val="24"/>
          <w:lang w:val="fr-FR" w:eastAsia="en-GB"/>
        </w:rPr>
        <w:t xml:space="preserve"> 22665/02, 23 juin </w:t>
      </w:r>
      <w:r w:rsidRPr="00753E56">
        <w:rPr>
          <w:color w:val="000000"/>
          <w:szCs w:val="24"/>
          <w:lang w:val="fr-FR" w:eastAsia="en-GB"/>
        </w:rPr>
        <w:t xml:space="preserve">2009; </w:t>
      </w:r>
      <w:r w:rsidRPr="00753E56">
        <w:rPr>
          <w:i/>
          <w:color w:val="000000"/>
          <w:szCs w:val="24"/>
          <w:lang w:val="fr-FR" w:eastAsia="en-GB"/>
        </w:rPr>
        <w:t xml:space="preserve">Depalle c. France </w:t>
      </w:r>
      <w:r w:rsidRPr="00753E56">
        <w:rPr>
          <w:color w:val="000000"/>
          <w:szCs w:val="24"/>
          <w:lang w:val="fr-FR" w:eastAsia="en-GB"/>
        </w:rPr>
        <w:t>[GC], n</w:t>
      </w:r>
      <w:r w:rsidRPr="00753E56">
        <w:rPr>
          <w:color w:val="000000"/>
          <w:szCs w:val="24"/>
          <w:vertAlign w:val="superscript"/>
          <w:lang w:val="fr-FR" w:eastAsia="en-GB"/>
        </w:rPr>
        <w:t>o</w:t>
      </w:r>
      <w:r w:rsidRPr="00753E56">
        <w:rPr>
          <w:color w:val="000000"/>
          <w:szCs w:val="24"/>
          <w:lang w:val="fr-FR" w:eastAsia="en-GB"/>
        </w:rPr>
        <w:t xml:space="preserve"> 34044/02, § 86, CEDH 2010; </w:t>
      </w:r>
      <w:r w:rsidRPr="00753E56">
        <w:rPr>
          <w:i/>
          <w:color w:val="000000"/>
          <w:szCs w:val="24"/>
          <w:lang w:val="fr-FR" w:eastAsia="en-GB"/>
        </w:rPr>
        <w:t>Allan</w:t>
      </w:r>
      <w:r w:rsidRPr="00753E56">
        <w:rPr>
          <w:color w:val="000000"/>
          <w:szCs w:val="24"/>
          <w:lang w:val="fr-FR" w:eastAsia="en-GB"/>
        </w:rPr>
        <w:t xml:space="preserve"> </w:t>
      </w:r>
      <w:r w:rsidRPr="00753E56">
        <w:rPr>
          <w:i/>
          <w:color w:val="000000"/>
          <w:szCs w:val="24"/>
          <w:lang w:val="fr-FR" w:eastAsia="en-GB"/>
        </w:rPr>
        <w:t xml:space="preserve">Jacobsson c. Suède </w:t>
      </w:r>
      <w:r w:rsidRPr="00753E56">
        <w:rPr>
          <w:color w:val="000000"/>
          <w:szCs w:val="24"/>
          <w:lang w:val="fr-FR" w:eastAsia="en-GB"/>
        </w:rPr>
        <w:t>(no 1), 25 octobre 1989, §§ 60-62, série A n</w:t>
      </w:r>
      <w:r w:rsidRPr="00753E56">
        <w:rPr>
          <w:color w:val="000000"/>
          <w:szCs w:val="24"/>
          <w:vertAlign w:val="superscript"/>
          <w:lang w:val="fr-FR" w:eastAsia="en-GB"/>
        </w:rPr>
        <w:t>o</w:t>
      </w:r>
      <w:r w:rsidRPr="00753E56">
        <w:rPr>
          <w:color w:val="000000"/>
          <w:szCs w:val="24"/>
          <w:lang w:val="fr-FR" w:eastAsia="en-GB"/>
        </w:rPr>
        <w:t xml:space="preserve"> 163 et </w:t>
      </w:r>
      <w:r w:rsidRPr="00753E56">
        <w:rPr>
          <w:i/>
          <w:color w:val="000000"/>
          <w:szCs w:val="24"/>
          <w:lang w:val="fr-FR" w:eastAsia="en-GB"/>
        </w:rPr>
        <w:t xml:space="preserve">Fredin c. Suède </w:t>
      </w:r>
      <w:r w:rsidRPr="00753E56">
        <w:rPr>
          <w:color w:val="000000"/>
          <w:szCs w:val="24"/>
          <w:lang w:val="fr-FR" w:eastAsia="en-GB"/>
        </w:rPr>
        <w:t>(no 1), 18 février 1991, § 54, série A n</w:t>
      </w:r>
      <w:r w:rsidRPr="00753E56">
        <w:rPr>
          <w:color w:val="000000"/>
          <w:szCs w:val="24"/>
          <w:vertAlign w:val="superscript"/>
          <w:lang w:val="fr-FR" w:eastAsia="en-GB"/>
        </w:rPr>
        <w:t>o</w:t>
      </w:r>
      <w:r w:rsidRPr="00753E56">
        <w:rPr>
          <w:color w:val="000000"/>
          <w:szCs w:val="24"/>
          <w:lang w:val="fr-FR" w:eastAsia="en-GB"/>
        </w:rPr>
        <w:t xml:space="preserve"> 192).</w:t>
      </w:r>
    </w:p>
    <w:p w:rsidR="009A7AB9" w:rsidRPr="00753E56" w:rsidRDefault="009A7AB9" w:rsidP="00753E56">
      <w:pPr>
        <w:ind w:firstLine="360"/>
        <w:rPr>
          <w:color w:val="000000"/>
          <w:szCs w:val="24"/>
          <w:lang w:val="fr-FR"/>
        </w:rPr>
      </w:pPr>
      <w:r w:rsidRPr="00753E56">
        <w:rPr>
          <w:color w:val="000000"/>
          <w:szCs w:val="24"/>
          <w:lang w:val="fr-FR"/>
        </w:rPr>
        <w:t>40.  La requérante soutient qu</w:t>
      </w:r>
      <w:r w:rsidR="00753E56" w:rsidRPr="00753E56">
        <w:rPr>
          <w:color w:val="000000"/>
          <w:szCs w:val="24"/>
          <w:lang w:val="fr-FR"/>
        </w:rPr>
        <w:t>’</w:t>
      </w:r>
      <w:r w:rsidRPr="00753E56">
        <w:rPr>
          <w:color w:val="000000"/>
          <w:szCs w:val="24"/>
          <w:lang w:val="fr-FR"/>
        </w:rPr>
        <w:t>elle se trouve dans une situation de besoin, a deux personnes à sa charge et n</w:t>
      </w:r>
      <w:r w:rsidR="00753E56" w:rsidRPr="00753E56">
        <w:rPr>
          <w:color w:val="000000"/>
          <w:szCs w:val="24"/>
          <w:lang w:val="fr-FR"/>
        </w:rPr>
        <w:t>’</w:t>
      </w:r>
      <w:r w:rsidRPr="00753E56">
        <w:rPr>
          <w:color w:val="000000"/>
          <w:szCs w:val="24"/>
          <w:lang w:val="fr-FR"/>
        </w:rPr>
        <w:t>a pas les ressources suffisantes pour alimenter le compte de prévoyance. Elle affirme cependant disposer d</w:t>
      </w:r>
      <w:r w:rsidR="00753E56" w:rsidRPr="00753E56">
        <w:rPr>
          <w:color w:val="000000"/>
          <w:szCs w:val="24"/>
          <w:lang w:val="fr-FR"/>
        </w:rPr>
        <w:t>’</w:t>
      </w:r>
      <w:r w:rsidRPr="00753E56">
        <w:rPr>
          <w:color w:val="000000"/>
          <w:szCs w:val="24"/>
          <w:lang w:val="fr-FR"/>
        </w:rPr>
        <w:t>une pension de réversion dont elle ne précise pas le montant. La requérante n</w:t>
      </w:r>
      <w:r w:rsidR="00753E56" w:rsidRPr="00753E56">
        <w:rPr>
          <w:color w:val="000000"/>
          <w:szCs w:val="24"/>
          <w:lang w:val="fr-FR"/>
        </w:rPr>
        <w:t>’</w:t>
      </w:r>
      <w:r w:rsidRPr="00753E56">
        <w:rPr>
          <w:color w:val="000000"/>
          <w:szCs w:val="24"/>
          <w:lang w:val="fr-FR"/>
        </w:rPr>
        <w:t>a fourni aucune autre information sur sa prétendue situation d</w:t>
      </w:r>
      <w:r w:rsidR="00753E56" w:rsidRPr="00753E56">
        <w:rPr>
          <w:color w:val="000000"/>
          <w:szCs w:val="24"/>
          <w:lang w:val="fr-FR"/>
        </w:rPr>
        <w:t>’</w:t>
      </w:r>
      <w:r w:rsidRPr="00753E56">
        <w:rPr>
          <w:color w:val="000000"/>
          <w:szCs w:val="24"/>
          <w:lang w:val="fr-FR"/>
        </w:rPr>
        <w:t>insuffisance économique.</w:t>
      </w:r>
    </w:p>
    <w:p w:rsidR="009A7AB9" w:rsidRPr="00753E56" w:rsidRDefault="009A7AB9" w:rsidP="00753E56">
      <w:pPr>
        <w:ind w:firstLine="360"/>
        <w:rPr>
          <w:lang w:val="fr-FR"/>
        </w:rPr>
      </w:pPr>
      <w:r w:rsidRPr="00753E56">
        <w:rPr>
          <w:color w:val="000000"/>
          <w:szCs w:val="24"/>
          <w:lang w:val="fr-FR" w:eastAsia="en-GB"/>
        </w:rPr>
        <w:t>41.  En conclusion, la Cour estime que, compte tenu de la large marge d</w:t>
      </w:r>
      <w:r w:rsidR="00753E56" w:rsidRPr="00753E56">
        <w:rPr>
          <w:color w:val="000000"/>
          <w:szCs w:val="24"/>
          <w:lang w:val="fr-FR" w:eastAsia="en-GB"/>
        </w:rPr>
        <w:t>’</w:t>
      </w:r>
      <w:r w:rsidRPr="00753E56">
        <w:rPr>
          <w:color w:val="000000"/>
          <w:szCs w:val="24"/>
          <w:lang w:val="fr-FR" w:eastAsia="en-GB"/>
        </w:rPr>
        <w:t>appréciation dont l</w:t>
      </w:r>
      <w:r w:rsidR="00753E56" w:rsidRPr="00753E56">
        <w:rPr>
          <w:color w:val="000000"/>
          <w:szCs w:val="24"/>
          <w:lang w:val="fr-FR" w:eastAsia="en-GB"/>
        </w:rPr>
        <w:t>’</w:t>
      </w:r>
      <w:r w:rsidRPr="00753E56">
        <w:rPr>
          <w:color w:val="000000"/>
          <w:szCs w:val="24"/>
          <w:lang w:val="fr-FR" w:eastAsia="en-GB"/>
        </w:rPr>
        <w:t>État dispose en la matière, l</w:t>
      </w:r>
      <w:r w:rsidR="00753E56" w:rsidRPr="00753E56">
        <w:rPr>
          <w:color w:val="000000"/>
          <w:szCs w:val="24"/>
          <w:lang w:val="fr-FR" w:eastAsia="en-GB"/>
        </w:rPr>
        <w:t>’</w:t>
      </w:r>
      <w:r w:rsidRPr="00753E56">
        <w:rPr>
          <w:color w:val="000000"/>
          <w:szCs w:val="24"/>
          <w:lang w:val="fr-FR" w:eastAsia="en-GB"/>
        </w:rPr>
        <w:t xml:space="preserve">ingérence litigieuse ne </w:t>
      </w:r>
      <w:r w:rsidRPr="00753E56">
        <w:rPr>
          <w:lang w:val="fr-FR"/>
        </w:rPr>
        <w:t>constitue pas une atteinte disproportionnée au droit au respect des biens de l</w:t>
      </w:r>
      <w:r w:rsidR="00753E56" w:rsidRPr="00753E56">
        <w:rPr>
          <w:lang w:val="fr-FR"/>
        </w:rPr>
        <w:t>’</w:t>
      </w:r>
      <w:r w:rsidRPr="00753E56">
        <w:rPr>
          <w:lang w:val="fr-FR"/>
        </w:rPr>
        <w:t>intéressée au regard de l</w:t>
      </w:r>
      <w:r w:rsidR="00753E56" w:rsidRPr="00753E56">
        <w:rPr>
          <w:lang w:val="fr-FR"/>
        </w:rPr>
        <w:t>’</w:t>
      </w:r>
      <w:r w:rsidRPr="00753E56">
        <w:rPr>
          <w:lang w:val="fr-FR"/>
        </w:rPr>
        <w:t>article 1 du Protocole n</w:t>
      </w:r>
      <w:r w:rsidRPr="00753E56">
        <w:rPr>
          <w:vertAlign w:val="superscript"/>
          <w:lang w:val="fr-FR"/>
        </w:rPr>
        <w:t>o</w:t>
      </w:r>
      <w:r w:rsidRPr="00753E56">
        <w:rPr>
          <w:lang w:val="fr-FR"/>
        </w:rPr>
        <w:t xml:space="preserve"> 1.</w:t>
      </w:r>
    </w:p>
    <w:p w:rsidR="009A7AB9" w:rsidRPr="00753E56" w:rsidRDefault="009A7AB9" w:rsidP="00753E56">
      <w:pPr>
        <w:ind w:firstLine="360"/>
        <w:rPr>
          <w:lang w:val="fr-FR"/>
        </w:rPr>
      </w:pPr>
      <w:r w:rsidRPr="00753E56">
        <w:rPr>
          <w:lang w:val="fr-FR"/>
        </w:rPr>
        <w:t>42.  Partant, la Cour estime que la requête doit être rejetée pour défaut manifeste de fondement en application de l</w:t>
      </w:r>
      <w:r w:rsidR="00753E56" w:rsidRPr="00753E56">
        <w:rPr>
          <w:lang w:val="fr-FR"/>
        </w:rPr>
        <w:t>’</w:t>
      </w:r>
      <w:r w:rsidRPr="00753E56">
        <w:rPr>
          <w:lang w:val="fr-FR"/>
        </w:rPr>
        <w:t>article 35 §§ 3 a) et 4 de la Convention.</w:t>
      </w:r>
    </w:p>
    <w:p w:rsidR="009A7AB9" w:rsidRPr="00753E56" w:rsidRDefault="009A7AB9" w:rsidP="00753E56">
      <w:pPr>
        <w:pStyle w:val="JuParaLast"/>
        <w:rPr>
          <w:lang w:val="fr-FR"/>
        </w:rPr>
      </w:pPr>
      <w:r w:rsidRPr="00753E56">
        <w:rPr>
          <w:lang w:val="fr-FR"/>
        </w:rPr>
        <w:t>Par ces motifs, la Cour, à l</w:t>
      </w:r>
      <w:r w:rsidR="00753E56" w:rsidRPr="00753E56">
        <w:rPr>
          <w:lang w:val="fr-FR"/>
        </w:rPr>
        <w:t>’</w:t>
      </w:r>
      <w:r w:rsidRPr="00753E56">
        <w:rPr>
          <w:lang w:val="fr-FR"/>
        </w:rPr>
        <w:t>unanimité,</w:t>
      </w:r>
    </w:p>
    <w:p w:rsidR="009A7AB9" w:rsidRPr="00753E56" w:rsidRDefault="009A7AB9" w:rsidP="00753E56">
      <w:pPr>
        <w:pStyle w:val="DecList"/>
        <w:rPr>
          <w:lang w:val="fr-FR"/>
        </w:rPr>
      </w:pPr>
      <w:r w:rsidRPr="00753E56">
        <w:rPr>
          <w:i/>
          <w:lang w:val="fr-FR"/>
        </w:rPr>
        <w:t>Déclare</w:t>
      </w:r>
      <w:r w:rsidRPr="00753E56">
        <w:rPr>
          <w:lang w:val="fr-FR"/>
        </w:rPr>
        <w:t xml:space="preserve"> la requête irrecevable.</w:t>
      </w:r>
    </w:p>
    <w:p w:rsidR="006544C4" w:rsidRPr="00753E56" w:rsidRDefault="006544C4" w:rsidP="00753E56">
      <w:pPr>
        <w:pStyle w:val="ECHRPara"/>
        <w:rPr>
          <w:sz w:val="2"/>
          <w:szCs w:val="2"/>
          <w:lang w:val="fr-FR" w:eastAsia="en-GB"/>
        </w:rPr>
      </w:pPr>
    </w:p>
    <w:p w:rsidR="00050A32" w:rsidRPr="00753E56" w:rsidRDefault="00F40988" w:rsidP="00753E56">
      <w:pPr>
        <w:pStyle w:val="JuParaLast"/>
        <w:rPr>
          <w:lang w:val="fr-FR"/>
        </w:rPr>
      </w:pPr>
      <w:r w:rsidRPr="00753E56">
        <w:rPr>
          <w:szCs w:val="24"/>
          <w:lang w:val="fr-FR"/>
        </w:rPr>
        <w:t xml:space="preserve">Fait en français puis communiqué par écrit le </w:t>
      </w:r>
      <w:r w:rsidR="009A7AB9" w:rsidRPr="00753E56">
        <w:rPr>
          <w:szCs w:val="24"/>
          <w:lang w:val="fr-FR"/>
        </w:rPr>
        <w:t>6 octobre 2016</w:t>
      </w:r>
      <w:r w:rsidRPr="00753E56">
        <w:rPr>
          <w:lang w:val="fr-FR"/>
        </w:rPr>
        <w:t>.</w:t>
      </w:r>
    </w:p>
    <w:p w:rsidR="0035621E" w:rsidRPr="00753E56" w:rsidRDefault="00050A32" w:rsidP="00753E56">
      <w:pPr>
        <w:pStyle w:val="JuSigned"/>
        <w:rPr>
          <w:lang w:val="es-ES_tradnl"/>
        </w:rPr>
      </w:pPr>
      <w:r w:rsidRPr="00753E56">
        <w:rPr>
          <w:lang w:val="fr-FR"/>
        </w:rPr>
        <w:tab/>
      </w:r>
      <w:r w:rsidR="009A7AB9" w:rsidRPr="00753E56">
        <w:rPr>
          <w:lang w:val="es-ES_tradnl"/>
        </w:rPr>
        <w:t>Abel Campos</w:t>
      </w:r>
      <w:r w:rsidR="00B433F5" w:rsidRPr="00753E56">
        <w:rPr>
          <w:lang w:val="es-ES_tradnl"/>
        </w:rPr>
        <w:tab/>
      </w:r>
      <w:r w:rsidR="009A7AB9" w:rsidRPr="00753E56">
        <w:rPr>
          <w:lang w:val="es-ES_tradnl"/>
        </w:rPr>
        <w:t>Mirjana Lazarova Trajkovska</w:t>
      </w:r>
    </w:p>
    <w:p w:rsidR="0091478F" w:rsidRPr="00753E56" w:rsidRDefault="0035621E" w:rsidP="00753E56">
      <w:pPr>
        <w:pStyle w:val="JuSigned"/>
        <w:tabs>
          <w:tab w:val="clear" w:pos="6407"/>
          <w:tab w:val="center" w:pos="5812"/>
        </w:tabs>
        <w:contextualSpacing/>
        <w:rPr>
          <w:lang w:val="es-ES_tradnl"/>
        </w:rPr>
      </w:pPr>
      <w:r w:rsidRPr="00753E56">
        <w:rPr>
          <w:iCs/>
          <w:lang w:val="es-ES_tradnl"/>
        </w:rPr>
        <w:tab/>
      </w:r>
      <w:r w:rsidR="009A7AB9" w:rsidRPr="00753E56">
        <w:rPr>
          <w:lang w:val="es-ES_tradnl"/>
        </w:rPr>
        <w:t>Greffier</w:t>
      </w:r>
      <w:r w:rsidR="0091478F" w:rsidRPr="00753E56">
        <w:rPr>
          <w:lang w:val="es-ES_tradnl"/>
        </w:rPr>
        <w:tab/>
      </w:r>
      <w:r w:rsidR="009A7AB9" w:rsidRPr="00753E56">
        <w:rPr>
          <w:lang w:val="es-ES_tradnl"/>
        </w:rPr>
        <w:t>Présidente</w:t>
      </w:r>
    </w:p>
    <w:sectPr w:rsidR="0091478F" w:rsidRPr="00753E56"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005" w:rsidRPr="00AC6FC1" w:rsidRDefault="00494005" w:rsidP="006544C4">
      <w:pPr>
        <w:rPr>
          <w:lang w:val="fr-FR"/>
        </w:rPr>
      </w:pPr>
      <w:r w:rsidRPr="00AC6FC1">
        <w:rPr>
          <w:lang w:val="fr-FR"/>
        </w:rPr>
        <w:separator/>
      </w:r>
    </w:p>
  </w:endnote>
  <w:endnote w:type="continuationSeparator" w:id="0">
    <w:p w:rsidR="00494005" w:rsidRPr="00AC6FC1" w:rsidRDefault="00494005" w:rsidP="006544C4">
      <w:pPr>
        <w:rPr>
          <w:lang w:val="fr-FR"/>
        </w:rPr>
      </w:pPr>
      <w:r w:rsidRPr="00AC6FC1">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B9" w:rsidRPr="00150BFA" w:rsidRDefault="009A7AB9" w:rsidP="0020718E">
    <w:pPr>
      <w:jc w:val="center"/>
    </w:pPr>
    <w:r>
      <w:rPr>
        <w:noProof/>
        <w:lang w:val="it-IT" w:eastAsia="it-IT"/>
      </w:rPr>
      <w:drawing>
        <wp:inline distT="0" distB="0" distL="0" distR="0" wp14:anchorId="49B096A7" wp14:editId="1690570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AC6FC1" w:rsidRDefault="00494005"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005" w:rsidRPr="00AC6FC1" w:rsidRDefault="00494005" w:rsidP="006544C4">
      <w:pPr>
        <w:rPr>
          <w:lang w:val="fr-FR"/>
        </w:rPr>
      </w:pPr>
      <w:r w:rsidRPr="00AC6FC1">
        <w:rPr>
          <w:lang w:val="fr-FR"/>
        </w:rPr>
        <w:separator/>
      </w:r>
    </w:p>
  </w:footnote>
  <w:footnote w:type="continuationSeparator" w:id="0">
    <w:p w:rsidR="00494005" w:rsidRPr="00AC6FC1" w:rsidRDefault="00494005" w:rsidP="006544C4">
      <w:pPr>
        <w:rPr>
          <w:lang w:val="fr-FR"/>
        </w:rPr>
      </w:pPr>
      <w:r w:rsidRPr="00AC6FC1">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AC6FC1" w:rsidRDefault="009A7AB9" w:rsidP="003312A3">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DC5C10">
      <w:rPr>
        <w:rStyle w:val="Numeropagina"/>
        <w:noProof/>
        <w:lang w:val="fr-FR"/>
      </w:rPr>
      <w:t>2</w:t>
    </w:r>
    <w:r>
      <w:rPr>
        <w:rStyle w:val="Numeropagina"/>
        <w:lang w:val="fr-FR"/>
      </w:rPr>
      <w:fldChar w:fldCharType="end"/>
    </w:r>
    <w:r w:rsidR="00334EC5" w:rsidRPr="00AC6FC1">
      <w:rPr>
        <w:lang w:val="fr-FR"/>
      </w:rPr>
      <w:tab/>
      <w:t xml:space="preserve">DÉCISION </w:t>
    </w:r>
    <w:r>
      <w:rPr>
        <w:lang w:val="fr-FR"/>
      </w:rPr>
      <w:t>MAURIELLO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AC6FC1" w:rsidRDefault="00334EC5" w:rsidP="006544C4">
    <w:pPr>
      <w:pStyle w:val="ECHRHeader"/>
      <w:rPr>
        <w:lang w:val="fr-FR"/>
      </w:rPr>
    </w:pPr>
    <w:r w:rsidRPr="00AC6FC1">
      <w:rPr>
        <w:lang w:val="fr-FR"/>
      </w:rPr>
      <w:tab/>
      <w:t xml:space="preserve">DÉCISION </w:t>
    </w:r>
    <w:r w:rsidR="009A7AB9">
      <w:rPr>
        <w:lang w:val="fr-FR"/>
      </w:rPr>
      <w:t>MAURIELLO c. ITALIE</w:t>
    </w:r>
    <w:r w:rsidRPr="00AC6FC1">
      <w:rPr>
        <w:lang w:val="fr-FR"/>
      </w:rPr>
      <w:tab/>
    </w:r>
    <w:r w:rsidR="009A7AB9">
      <w:rPr>
        <w:rStyle w:val="Numeropagina"/>
        <w:lang w:val="fr-FR"/>
      </w:rPr>
      <w:fldChar w:fldCharType="begin"/>
    </w:r>
    <w:r w:rsidR="009A7AB9">
      <w:rPr>
        <w:rStyle w:val="Numeropagina"/>
        <w:lang w:val="fr-FR"/>
      </w:rPr>
      <w:instrText xml:space="preserve"> PAGE </w:instrText>
    </w:r>
    <w:r w:rsidR="009A7AB9">
      <w:rPr>
        <w:rStyle w:val="Numeropagina"/>
        <w:lang w:val="fr-FR"/>
      </w:rPr>
      <w:fldChar w:fldCharType="separate"/>
    </w:r>
    <w:r w:rsidR="00DC5C10">
      <w:rPr>
        <w:rStyle w:val="Numeropagina"/>
        <w:noProof/>
        <w:lang w:val="fr-FR"/>
      </w:rPr>
      <w:t>9</w:t>
    </w:r>
    <w:r w:rsidR="009A7AB9">
      <w:rPr>
        <w:rStyle w:val="Numeropagina"/>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B9" w:rsidRPr="00A45145" w:rsidRDefault="009A7AB9" w:rsidP="00A45145">
    <w:pPr>
      <w:jc w:val="center"/>
    </w:pPr>
    <w:r>
      <w:rPr>
        <w:noProof/>
        <w:lang w:val="it-IT" w:eastAsia="it-IT"/>
      </w:rPr>
      <w:drawing>
        <wp:inline distT="0" distB="0" distL="0" distR="0" wp14:anchorId="5A9439A6" wp14:editId="0374850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AC6FC1" w:rsidRDefault="00494005"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10"/>
  </w:num>
  <w:num w:numId="4">
    <w:abstractNumId w:val="11"/>
  </w:num>
  <w:num w:numId="5">
    <w:abstractNumId w:val="13"/>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9A7AB9"/>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849E5"/>
    <w:rsid w:val="000925AD"/>
    <w:rsid w:val="000A24EB"/>
    <w:rsid w:val="000B6923"/>
    <w:rsid w:val="000C5F3C"/>
    <w:rsid w:val="000C6DCC"/>
    <w:rsid w:val="000D47AA"/>
    <w:rsid w:val="000D5A4F"/>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D5E24"/>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BF1"/>
    <w:rsid w:val="00485FF9"/>
    <w:rsid w:val="004907F0"/>
    <w:rsid w:val="0049140B"/>
    <w:rsid w:val="004923A5"/>
    <w:rsid w:val="0049400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1D84"/>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53E56"/>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A7AB9"/>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160DB"/>
    <w:rsid w:val="00B20836"/>
    <w:rsid w:val="00B235BB"/>
    <w:rsid w:val="00B27A44"/>
    <w:rsid w:val="00B30BBF"/>
    <w:rsid w:val="00B33C03"/>
    <w:rsid w:val="00B433F5"/>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3F75"/>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5C10"/>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0B4"/>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0D5A4F"/>
    <w:pPr>
      <w:jc w:val="both"/>
    </w:pPr>
    <w:rPr>
      <w:rFonts w:eastAsiaTheme="minorEastAsia"/>
      <w:sz w:val="24"/>
    </w:rPr>
  </w:style>
  <w:style w:type="paragraph" w:styleId="Titolo1">
    <w:name w:val="heading 1"/>
    <w:basedOn w:val="Normale"/>
    <w:next w:val="Normale"/>
    <w:link w:val="Titolo1Carattere"/>
    <w:uiPriority w:val="99"/>
    <w:semiHidden/>
    <w:rsid w:val="000D5A4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0D5A4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0D5A4F"/>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0D5A4F"/>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0D5A4F"/>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0D5A4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0D5A4F"/>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0D5A4F"/>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0D5A4F"/>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D5A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A4F"/>
    <w:rPr>
      <w:rFonts w:ascii="Tahoma" w:eastAsiaTheme="minorEastAsia" w:hAnsi="Tahoma" w:cs="Tahoma"/>
      <w:sz w:val="16"/>
      <w:szCs w:val="16"/>
    </w:rPr>
  </w:style>
  <w:style w:type="character" w:styleId="Titolodellibro">
    <w:name w:val="Book Title"/>
    <w:uiPriority w:val="99"/>
    <w:semiHidden/>
    <w:qFormat/>
    <w:rsid w:val="000D5A4F"/>
    <w:rPr>
      <w:i/>
      <w:iCs/>
      <w:smallCaps/>
      <w:spacing w:val="5"/>
    </w:rPr>
  </w:style>
  <w:style w:type="paragraph" w:customStyle="1" w:styleId="ECHRHeader">
    <w:name w:val="ECHR_Header"/>
    <w:aliases w:val="Ju_Header"/>
    <w:basedOn w:val="Intestazione"/>
    <w:uiPriority w:val="4"/>
    <w:qFormat/>
    <w:rsid w:val="000D5A4F"/>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0D5A4F"/>
    <w:pPr>
      <w:numPr>
        <w:numId w:val="14"/>
      </w:numPr>
      <w:jc w:val="left"/>
    </w:pPr>
    <w:rPr>
      <w:b/>
    </w:rPr>
  </w:style>
  <w:style w:type="character" w:styleId="Enfasigrassetto">
    <w:name w:val="Strong"/>
    <w:uiPriority w:val="99"/>
    <w:semiHidden/>
    <w:qFormat/>
    <w:rsid w:val="000D5A4F"/>
    <w:rPr>
      <w:b/>
      <w:bCs/>
    </w:rPr>
  </w:style>
  <w:style w:type="paragraph" w:styleId="Nessunaspaziatura">
    <w:name w:val="No Spacing"/>
    <w:basedOn w:val="Normale"/>
    <w:link w:val="NessunaspaziaturaCarattere"/>
    <w:semiHidden/>
    <w:qFormat/>
    <w:rsid w:val="000D5A4F"/>
    <w:rPr>
      <w:sz w:val="22"/>
    </w:rPr>
  </w:style>
  <w:style w:type="character" w:customStyle="1" w:styleId="NessunaspaziaturaCarattere">
    <w:name w:val="Nessuna spaziatura Carattere"/>
    <w:basedOn w:val="Carpredefinitoparagrafo"/>
    <w:link w:val="Nessunaspaziatura"/>
    <w:semiHidden/>
    <w:rsid w:val="000D5A4F"/>
    <w:rPr>
      <w:rFonts w:eastAsiaTheme="minorEastAsia"/>
    </w:rPr>
  </w:style>
  <w:style w:type="paragraph" w:customStyle="1" w:styleId="OpiPara">
    <w:name w:val="Opi_Para"/>
    <w:basedOn w:val="ECHRPara"/>
    <w:uiPriority w:val="46"/>
    <w:semiHidden/>
    <w:qFormat/>
    <w:rsid w:val="000D5A4F"/>
  </w:style>
  <w:style w:type="paragraph" w:customStyle="1" w:styleId="ECHRParaQuote">
    <w:name w:val="ECHR_Para_Quote"/>
    <w:aliases w:val="Ju_Quot,Para_Quote"/>
    <w:basedOn w:val="Normale"/>
    <w:link w:val="JuQuotChar"/>
    <w:uiPriority w:val="14"/>
    <w:qFormat/>
    <w:rsid w:val="000D5A4F"/>
    <w:pPr>
      <w:spacing w:before="120" w:after="120"/>
      <w:ind w:left="425" w:firstLine="142"/>
    </w:pPr>
    <w:rPr>
      <w:sz w:val="20"/>
    </w:rPr>
  </w:style>
  <w:style w:type="paragraph" w:customStyle="1" w:styleId="JuParaSub">
    <w:name w:val="Ju_Para_Sub"/>
    <w:basedOn w:val="ECHRPara"/>
    <w:uiPriority w:val="13"/>
    <w:qFormat/>
    <w:rsid w:val="000D5A4F"/>
    <w:pPr>
      <w:ind w:left="284"/>
    </w:pPr>
  </w:style>
  <w:style w:type="paragraph" w:customStyle="1" w:styleId="OpiParaSub">
    <w:name w:val="Opi_Para_Sub"/>
    <w:basedOn w:val="JuParaSub"/>
    <w:uiPriority w:val="47"/>
    <w:semiHidden/>
    <w:qFormat/>
    <w:rsid w:val="000D5A4F"/>
  </w:style>
  <w:style w:type="paragraph" w:customStyle="1" w:styleId="OpiQuot">
    <w:name w:val="Opi_Quot"/>
    <w:basedOn w:val="ECHRParaQuote"/>
    <w:uiPriority w:val="48"/>
    <w:semiHidden/>
    <w:qFormat/>
    <w:rsid w:val="000D5A4F"/>
  </w:style>
  <w:style w:type="paragraph" w:customStyle="1" w:styleId="OpiQuotSub">
    <w:name w:val="Opi_Quot_Sub"/>
    <w:basedOn w:val="JuQuotSub"/>
    <w:uiPriority w:val="49"/>
    <w:semiHidden/>
    <w:qFormat/>
    <w:rsid w:val="000D5A4F"/>
  </w:style>
  <w:style w:type="paragraph" w:customStyle="1" w:styleId="ECHRTitleCentre3">
    <w:name w:val="ECHR_Title_Centre_3"/>
    <w:aliases w:val="Ju_H_Article"/>
    <w:basedOn w:val="Normale"/>
    <w:next w:val="ECHRParaQuote"/>
    <w:uiPriority w:val="27"/>
    <w:qFormat/>
    <w:rsid w:val="000D5A4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0D5A4F"/>
    <w:pPr>
      <w:keepNext/>
      <w:keepLines/>
      <w:spacing w:after="240"/>
      <w:jc w:val="center"/>
      <w:outlineLvl w:val="0"/>
    </w:pPr>
    <w:rPr>
      <w:rFonts w:asciiTheme="majorHAnsi" w:hAnsiTheme="majorHAnsi"/>
      <w:sz w:val="28"/>
    </w:rPr>
  </w:style>
  <w:style w:type="paragraph" w:customStyle="1" w:styleId="JuTitle">
    <w:name w:val="Ju_Title"/>
    <w:basedOn w:val="Normale"/>
    <w:next w:val="ECHRPara"/>
    <w:uiPriority w:val="3"/>
    <w:qFormat/>
    <w:rsid w:val="000D5A4F"/>
    <w:pPr>
      <w:spacing w:before="720" w:after="240"/>
      <w:jc w:val="center"/>
      <w:outlineLvl w:val="0"/>
    </w:pPr>
    <w:rPr>
      <w:rFonts w:asciiTheme="majorHAnsi" w:hAnsiTheme="majorHAnsi"/>
      <w:b/>
      <w:caps/>
    </w:rPr>
  </w:style>
  <w:style w:type="paragraph" w:customStyle="1" w:styleId="ECHRTitle1">
    <w:name w:val="ECHR_Title_1"/>
    <w:aliases w:val="Ju_H_Head"/>
    <w:basedOn w:val="Normale"/>
    <w:next w:val="ECHRPara"/>
    <w:uiPriority w:val="18"/>
    <w:qFormat/>
    <w:rsid w:val="000D5A4F"/>
    <w:pPr>
      <w:keepNext/>
      <w:keepLines/>
      <w:spacing w:before="720" w:after="240"/>
      <w:outlineLvl w:val="0"/>
    </w:pPr>
    <w:rPr>
      <w:rFonts w:asciiTheme="majorHAnsi" w:hAnsiTheme="majorHAnsi"/>
      <w:sz w:val="28"/>
    </w:rPr>
  </w:style>
  <w:style w:type="paragraph" w:customStyle="1" w:styleId="JuCase">
    <w:name w:val="Ju_Case"/>
    <w:basedOn w:val="Normale"/>
    <w:next w:val="ECHRPara"/>
    <w:uiPriority w:val="10"/>
    <w:semiHidden/>
    <w:rsid w:val="000D5A4F"/>
    <w:pPr>
      <w:ind w:firstLine="284"/>
    </w:pPr>
    <w:rPr>
      <w:b/>
    </w:rPr>
  </w:style>
  <w:style w:type="paragraph" w:styleId="Titolo">
    <w:name w:val="Title"/>
    <w:basedOn w:val="Normale"/>
    <w:next w:val="Normale"/>
    <w:link w:val="TitoloCarattere"/>
    <w:uiPriority w:val="99"/>
    <w:semiHidden/>
    <w:qFormat/>
    <w:rsid w:val="000D5A4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D5A4F"/>
    <w:rPr>
      <w:rFonts w:asciiTheme="majorHAnsi" w:eastAsiaTheme="majorEastAsia" w:hAnsiTheme="majorHAnsi" w:cstheme="majorBidi"/>
      <w:spacing w:val="5"/>
      <w:sz w:val="52"/>
      <w:szCs w:val="52"/>
      <w:lang w:bidi="en-US"/>
    </w:rPr>
  </w:style>
  <w:style w:type="paragraph" w:customStyle="1" w:styleId="JuQuotSub">
    <w:name w:val="Ju_Quot_Sub"/>
    <w:basedOn w:val="ECHRParaQuote"/>
    <w:uiPriority w:val="15"/>
    <w:qFormat/>
    <w:rsid w:val="000D5A4F"/>
    <w:pPr>
      <w:ind w:left="567"/>
    </w:pPr>
  </w:style>
  <w:style w:type="paragraph" w:customStyle="1" w:styleId="JuInitialled">
    <w:name w:val="Ju_Initialled"/>
    <w:basedOn w:val="Normale"/>
    <w:uiPriority w:val="31"/>
    <w:qFormat/>
    <w:rsid w:val="000D5A4F"/>
    <w:pPr>
      <w:tabs>
        <w:tab w:val="center" w:pos="6407"/>
      </w:tabs>
      <w:spacing w:before="720"/>
      <w:jc w:val="right"/>
    </w:pPr>
  </w:style>
  <w:style w:type="paragraph" w:customStyle="1" w:styleId="OpiHA">
    <w:name w:val="Opi_H_A"/>
    <w:basedOn w:val="ECHRHeading1"/>
    <w:next w:val="OpiPara"/>
    <w:uiPriority w:val="41"/>
    <w:semiHidden/>
    <w:qFormat/>
    <w:rsid w:val="000D5A4F"/>
    <w:pPr>
      <w:tabs>
        <w:tab w:val="clear" w:pos="357"/>
      </w:tabs>
      <w:outlineLvl w:val="1"/>
    </w:pPr>
    <w:rPr>
      <w:b/>
    </w:rPr>
  </w:style>
  <w:style w:type="character" w:customStyle="1" w:styleId="JUNAMES">
    <w:name w:val="JU_NAMES"/>
    <w:uiPriority w:val="17"/>
    <w:qFormat/>
    <w:rsid w:val="000D5A4F"/>
    <w:rPr>
      <w:caps w:val="0"/>
      <w:smallCaps/>
    </w:rPr>
  </w:style>
  <w:style w:type="character" w:customStyle="1" w:styleId="JuITMark">
    <w:name w:val="Ju_ITMark"/>
    <w:basedOn w:val="Carpredefinitoparagrafo"/>
    <w:uiPriority w:val="38"/>
    <w:qFormat/>
    <w:rsid w:val="000D5A4F"/>
    <w:rPr>
      <w:vanish w:val="0"/>
      <w:color w:val="auto"/>
      <w:sz w:val="14"/>
    </w:rPr>
  </w:style>
  <w:style w:type="paragraph" w:customStyle="1" w:styleId="ECHRHeading1">
    <w:name w:val="ECHR_Heading_1"/>
    <w:aliases w:val="Ju_H_I_Roman"/>
    <w:basedOn w:val="Titolo1"/>
    <w:next w:val="ECHRPara"/>
    <w:uiPriority w:val="19"/>
    <w:qFormat/>
    <w:rsid w:val="000D5A4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uiPriority w:val="20"/>
    <w:qFormat/>
    <w:rsid w:val="000D5A4F"/>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0D5A4F"/>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0D5A4F"/>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0D5A4F"/>
    <w:rPr>
      <w:sz w:val="24"/>
    </w:rPr>
  </w:style>
  <w:style w:type="character" w:customStyle="1" w:styleId="Titolo1Carattere">
    <w:name w:val="Titolo 1 Carattere"/>
    <w:basedOn w:val="Carpredefinitoparagrafo"/>
    <w:link w:val="Titolo1"/>
    <w:uiPriority w:val="99"/>
    <w:semiHidden/>
    <w:rsid w:val="000D5A4F"/>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0D5A4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0D5A4F"/>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0D5A4F"/>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0D5A4F"/>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0D5A4F"/>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0D5A4F"/>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0D5A4F"/>
    <w:pPr>
      <w:keepNext/>
      <w:keepLines/>
      <w:spacing w:before="240"/>
      <w:ind w:firstLine="284"/>
    </w:pPr>
  </w:style>
  <w:style w:type="paragraph" w:customStyle="1" w:styleId="DecList">
    <w:name w:val="Dec_List"/>
    <w:basedOn w:val="Normale"/>
    <w:uiPriority w:val="9"/>
    <w:qFormat/>
    <w:rsid w:val="000D5A4F"/>
    <w:pPr>
      <w:spacing w:before="240"/>
      <w:ind w:left="284"/>
    </w:pPr>
  </w:style>
  <w:style w:type="character" w:customStyle="1" w:styleId="Titolo4Carattere">
    <w:name w:val="Titolo 4 Carattere"/>
    <w:basedOn w:val="Carpredefinitoparagrafo"/>
    <w:link w:val="Titolo4"/>
    <w:uiPriority w:val="99"/>
    <w:semiHidden/>
    <w:rsid w:val="000D5A4F"/>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0D5A4F"/>
    <w:pPr>
      <w:tabs>
        <w:tab w:val="left" w:pos="567"/>
        <w:tab w:val="left" w:pos="1134"/>
      </w:tabs>
      <w:jc w:val="left"/>
    </w:pPr>
  </w:style>
  <w:style w:type="character" w:customStyle="1" w:styleId="Titolo5Carattere">
    <w:name w:val="Titolo 5 Carattere"/>
    <w:basedOn w:val="Carpredefinitoparagrafo"/>
    <w:link w:val="Titolo5"/>
    <w:uiPriority w:val="99"/>
    <w:semiHidden/>
    <w:rsid w:val="000D5A4F"/>
    <w:rPr>
      <w:rFonts w:asciiTheme="majorHAnsi" w:eastAsiaTheme="majorEastAsia" w:hAnsiTheme="majorHAnsi" w:cstheme="majorBidi"/>
      <w:b/>
      <w:bCs/>
      <w:color w:val="808080"/>
    </w:rPr>
  </w:style>
  <w:style w:type="paragraph" w:customStyle="1" w:styleId="OpiTranslation">
    <w:name w:val="Opi_Translation"/>
    <w:basedOn w:val="Normale"/>
    <w:next w:val="OpiPara"/>
    <w:uiPriority w:val="40"/>
    <w:semiHidden/>
    <w:qFormat/>
    <w:rsid w:val="000D5A4F"/>
    <w:pPr>
      <w:jc w:val="center"/>
      <w:outlineLvl w:val="0"/>
    </w:pPr>
    <w:rPr>
      <w:i/>
    </w:rPr>
  </w:style>
  <w:style w:type="paragraph" w:customStyle="1" w:styleId="JuCourt">
    <w:name w:val="Ju_Court"/>
    <w:basedOn w:val="Normale"/>
    <w:next w:val="Normale"/>
    <w:uiPriority w:val="16"/>
    <w:qFormat/>
    <w:rsid w:val="000D5A4F"/>
    <w:pPr>
      <w:tabs>
        <w:tab w:val="left" w:pos="907"/>
        <w:tab w:val="left" w:pos="1701"/>
        <w:tab w:val="right" w:pos="7371"/>
      </w:tabs>
      <w:spacing w:before="240"/>
      <w:ind w:left="397" w:hanging="397"/>
      <w:jc w:val="left"/>
    </w:pPr>
    <w:rPr>
      <w:lang w:bidi="en-US"/>
    </w:rPr>
  </w:style>
  <w:style w:type="character" w:styleId="Enfasidelicata">
    <w:name w:val="Subtle Emphasis"/>
    <w:uiPriority w:val="99"/>
    <w:semiHidden/>
    <w:qFormat/>
    <w:rsid w:val="000D5A4F"/>
    <w:rPr>
      <w:i/>
      <w:iCs/>
    </w:rPr>
  </w:style>
  <w:style w:type="paragraph" w:customStyle="1" w:styleId="JuList">
    <w:name w:val="Ju_List"/>
    <w:basedOn w:val="Normale"/>
    <w:uiPriority w:val="28"/>
    <w:qFormat/>
    <w:rsid w:val="000D5A4F"/>
    <w:pPr>
      <w:ind w:left="340" w:hanging="340"/>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a">
    <w:name w:val="Ju_List_a"/>
    <w:basedOn w:val="JuList"/>
    <w:uiPriority w:val="28"/>
    <w:qFormat/>
    <w:rsid w:val="000D5A4F"/>
    <w:pPr>
      <w:ind w:left="346" w:firstLine="0"/>
    </w:pPr>
  </w:style>
  <w:style w:type="paragraph" w:customStyle="1" w:styleId="JuListi">
    <w:name w:val="Ju_List_i"/>
    <w:basedOn w:val="Normale"/>
    <w:next w:val="JuLista"/>
    <w:uiPriority w:val="28"/>
    <w:qFormat/>
    <w:rsid w:val="000D5A4F"/>
    <w:pPr>
      <w:ind w:left="794"/>
    </w:pPr>
  </w:style>
  <w:style w:type="paragraph" w:customStyle="1" w:styleId="ECHRTitleCentre2">
    <w:name w:val="ECHR_Title_Centre_2"/>
    <w:aliases w:val="Dec_H_Case"/>
    <w:basedOn w:val="Normale"/>
    <w:next w:val="ECHRPara"/>
    <w:uiPriority w:val="8"/>
    <w:qFormat/>
    <w:rsid w:val="000D5A4F"/>
    <w:pPr>
      <w:spacing w:after="240"/>
      <w:jc w:val="center"/>
      <w:outlineLvl w:val="0"/>
    </w:pPr>
    <w:rPr>
      <w:rFonts w:asciiTheme="majorHAnsi" w:hAnsiTheme="majorHAnsi"/>
      <w:i/>
    </w:rPr>
  </w:style>
  <w:style w:type="character" w:styleId="Enfasicorsivo">
    <w:name w:val="Emphasis"/>
    <w:uiPriority w:val="99"/>
    <w:semiHidden/>
    <w:qFormat/>
    <w:rsid w:val="000D5A4F"/>
    <w:rPr>
      <w:b/>
      <w:bCs/>
      <w:i/>
      <w:iCs/>
      <w:spacing w:val="10"/>
      <w:bdr w:val="none" w:sz="0" w:space="0" w:color="auto"/>
      <w:shd w:val="clear" w:color="auto" w:fill="auto"/>
    </w:rPr>
  </w:style>
  <w:style w:type="paragraph" w:styleId="Pidipagina">
    <w:name w:val="footer"/>
    <w:basedOn w:val="Normale"/>
    <w:link w:val="PidipaginaCarattere"/>
    <w:uiPriority w:val="57"/>
    <w:semiHidden/>
    <w:rsid w:val="000D5A4F"/>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0D5A4F"/>
    <w:rPr>
      <w:sz w:val="24"/>
    </w:rPr>
  </w:style>
  <w:style w:type="character" w:styleId="Rimandonotaapidipagina">
    <w:name w:val="footnote reference"/>
    <w:basedOn w:val="Carpredefinitoparagrafo"/>
    <w:uiPriority w:val="99"/>
    <w:semiHidden/>
    <w:rsid w:val="000D5A4F"/>
    <w:rPr>
      <w:vertAlign w:val="superscript"/>
    </w:rPr>
  </w:style>
  <w:style w:type="paragraph" w:styleId="Testonotaapidipagina">
    <w:name w:val="footnote text"/>
    <w:basedOn w:val="Normale"/>
    <w:link w:val="TestonotaapidipaginaCarattere"/>
    <w:uiPriority w:val="99"/>
    <w:semiHidden/>
    <w:rsid w:val="000D5A4F"/>
    <w:rPr>
      <w:sz w:val="20"/>
      <w:szCs w:val="20"/>
    </w:rPr>
  </w:style>
  <w:style w:type="character" w:customStyle="1" w:styleId="TestonotaapidipaginaCarattere">
    <w:name w:val="Testo nota a piè di pagina Carattere"/>
    <w:basedOn w:val="Carpredefinitoparagrafo"/>
    <w:link w:val="Testonotaapidipagina"/>
    <w:uiPriority w:val="99"/>
    <w:semiHidden/>
    <w:rsid w:val="000D5A4F"/>
    <w:rPr>
      <w:rFonts w:eastAsiaTheme="minorEastAsia"/>
      <w:sz w:val="20"/>
      <w:szCs w:val="20"/>
    </w:rPr>
  </w:style>
  <w:style w:type="character" w:customStyle="1" w:styleId="Titolo6Carattere">
    <w:name w:val="Titolo 6 Carattere"/>
    <w:basedOn w:val="Carpredefinitoparagrafo"/>
    <w:link w:val="Titolo6"/>
    <w:uiPriority w:val="99"/>
    <w:semiHidden/>
    <w:rsid w:val="000D5A4F"/>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0D5A4F"/>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D5A4F"/>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D5A4F"/>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0D5A4F"/>
    <w:rPr>
      <w:color w:val="0072BC" w:themeColor="hyperlink"/>
      <w:u w:val="single"/>
    </w:rPr>
  </w:style>
  <w:style w:type="character" w:styleId="Enfasiintensa">
    <w:name w:val="Intense Emphasis"/>
    <w:uiPriority w:val="99"/>
    <w:semiHidden/>
    <w:qFormat/>
    <w:rsid w:val="000D5A4F"/>
    <w:rPr>
      <w:b/>
      <w:bCs/>
    </w:rPr>
  </w:style>
  <w:style w:type="paragraph" w:styleId="Citazioneintensa">
    <w:name w:val="Intense Quote"/>
    <w:basedOn w:val="Normale"/>
    <w:next w:val="Normale"/>
    <w:link w:val="CitazioneintensaCarattere"/>
    <w:uiPriority w:val="99"/>
    <w:semiHidden/>
    <w:qFormat/>
    <w:rsid w:val="000D5A4F"/>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0D5A4F"/>
    <w:rPr>
      <w:rFonts w:eastAsiaTheme="minorEastAsia"/>
      <w:b/>
      <w:bCs/>
      <w:i/>
      <w:iCs/>
      <w:lang w:bidi="en-US"/>
    </w:rPr>
  </w:style>
  <w:style w:type="character" w:styleId="Riferimentointenso">
    <w:name w:val="Intense Reference"/>
    <w:uiPriority w:val="99"/>
    <w:semiHidden/>
    <w:qFormat/>
    <w:rsid w:val="000D5A4F"/>
    <w:rPr>
      <w:smallCaps/>
      <w:spacing w:val="5"/>
      <w:u w:val="single"/>
    </w:rPr>
  </w:style>
  <w:style w:type="paragraph" w:styleId="Paragrafoelenco">
    <w:name w:val="List Paragraph"/>
    <w:basedOn w:val="Normale"/>
    <w:uiPriority w:val="99"/>
    <w:semiHidden/>
    <w:qFormat/>
    <w:rsid w:val="000D5A4F"/>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0D5A4F"/>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0D5A4F"/>
    <w:rPr>
      <w:rFonts w:eastAsiaTheme="minorEastAsia"/>
      <w:i/>
      <w:iCs/>
      <w:lang w:bidi="en-US"/>
    </w:rPr>
  </w:style>
  <w:style w:type="character" w:styleId="Riferimentodelicato">
    <w:name w:val="Subtle Reference"/>
    <w:uiPriority w:val="99"/>
    <w:semiHidden/>
    <w:qFormat/>
    <w:rsid w:val="000D5A4F"/>
    <w:rPr>
      <w:smallCaps/>
    </w:rPr>
  </w:style>
  <w:style w:type="table" w:styleId="Grigliatabella">
    <w:name w:val="Table Grid"/>
    <w:basedOn w:val="Tabellanormale"/>
    <w:uiPriority w:val="59"/>
    <w:semiHidden/>
    <w:rsid w:val="000D5A4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0D5A4F"/>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0D5A4F"/>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0D5A4F"/>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0D5A4F"/>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0D5A4F"/>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0D5A4F"/>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0D5A4F"/>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1">
    <w:name w:val="Opi_H_1"/>
    <w:basedOn w:val="ECHRHeading2"/>
    <w:uiPriority w:val="42"/>
    <w:semiHidden/>
    <w:qFormat/>
    <w:rsid w:val="000D5A4F"/>
    <w:pPr>
      <w:ind w:left="635" w:hanging="357"/>
      <w:outlineLvl w:val="2"/>
    </w:pPr>
  </w:style>
  <w:style w:type="paragraph" w:customStyle="1" w:styleId="OpiHa0">
    <w:name w:val="Opi_H_a"/>
    <w:basedOn w:val="ECHRHeading3"/>
    <w:uiPriority w:val="43"/>
    <w:semiHidden/>
    <w:qFormat/>
    <w:rsid w:val="000D5A4F"/>
    <w:pPr>
      <w:ind w:left="833" w:hanging="357"/>
      <w:outlineLvl w:val="3"/>
    </w:pPr>
    <w:rPr>
      <w:b/>
      <w:i w:val="0"/>
      <w:sz w:val="20"/>
    </w:rPr>
  </w:style>
  <w:style w:type="paragraph" w:styleId="Sottotitolo">
    <w:name w:val="Subtitle"/>
    <w:basedOn w:val="Normale"/>
    <w:next w:val="Normale"/>
    <w:link w:val="SottotitoloCarattere"/>
    <w:uiPriority w:val="99"/>
    <w:semiHidden/>
    <w:qFormat/>
    <w:rsid w:val="000D5A4F"/>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0D5A4F"/>
    <w:pPr>
      <w:ind w:firstLine="284"/>
    </w:pPr>
  </w:style>
  <w:style w:type="character" w:customStyle="1" w:styleId="SottotitoloCarattere">
    <w:name w:val="Sottotitolo Carattere"/>
    <w:basedOn w:val="Carpredefinitoparagrafo"/>
    <w:link w:val="Sottotitolo"/>
    <w:uiPriority w:val="99"/>
    <w:semiHidden/>
    <w:rsid w:val="000D5A4F"/>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0D5A4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0D5A4F"/>
    <w:pPr>
      <w:tabs>
        <w:tab w:val="center" w:pos="851"/>
        <w:tab w:val="center" w:pos="6407"/>
      </w:tabs>
      <w:spacing w:before="720"/>
      <w:jc w:val="left"/>
    </w:pPr>
  </w:style>
  <w:style w:type="paragraph" w:customStyle="1" w:styleId="OpiHi">
    <w:name w:val="Opi_H_i"/>
    <w:basedOn w:val="ECHRHeading4"/>
    <w:uiPriority w:val="44"/>
    <w:semiHidden/>
    <w:qFormat/>
    <w:rsid w:val="000D5A4F"/>
    <w:pPr>
      <w:ind w:left="1037" w:hanging="357"/>
      <w:outlineLvl w:val="4"/>
    </w:pPr>
    <w:rPr>
      <w:b w:val="0"/>
      <w:i/>
    </w:rPr>
  </w:style>
  <w:style w:type="paragraph" w:customStyle="1" w:styleId="DecHTitle">
    <w:name w:val="Dec_H_Title"/>
    <w:basedOn w:val="ECHRTitleCentre1"/>
    <w:uiPriority w:val="7"/>
    <w:qFormat/>
    <w:rsid w:val="000D5A4F"/>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uiPriority w:val="99"/>
    <w:semiHidden/>
    <w:rsid w:val="006544C4"/>
    <w:pPr>
      <w:numPr>
        <w:numId w:val="2"/>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uiPriority w:val="99"/>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uiPriority w:val="99"/>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0D5A4F"/>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0D5A4F"/>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0D5A4F"/>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DummyStyle">
    <w:name w:val="Dummy_Style"/>
    <w:basedOn w:val="Normale"/>
    <w:semiHidden/>
    <w:qFormat/>
    <w:rsid w:val="000D5A4F"/>
    <w:rPr>
      <w:color w:val="00B050"/>
    </w:rPr>
  </w:style>
  <w:style w:type="paragraph" w:customStyle="1" w:styleId="ECHRFooter">
    <w:name w:val="ECHR_Footer"/>
    <w:aliases w:val="Footer_ECHR"/>
    <w:basedOn w:val="Pidipagina"/>
    <w:uiPriority w:val="57"/>
    <w:semiHidden/>
    <w:rsid w:val="000D5A4F"/>
    <w:pPr>
      <w:jc w:val="left"/>
    </w:pPr>
    <w:rPr>
      <w:sz w:val="8"/>
    </w:rPr>
  </w:style>
  <w:style w:type="paragraph" w:customStyle="1" w:styleId="ECHRFooterLine">
    <w:name w:val="ECHR_Footer_Line"/>
    <w:aliases w:val="Footer_Line"/>
    <w:basedOn w:val="Normale"/>
    <w:next w:val="ECHRFooter"/>
    <w:uiPriority w:val="57"/>
    <w:semiHidden/>
    <w:rsid w:val="000D5A4F"/>
    <w:pPr>
      <w:pBdr>
        <w:top w:val="single" w:sz="6" w:space="1" w:color="5F5F5F"/>
      </w:pBdr>
      <w:tabs>
        <w:tab w:val="center" w:pos="4536"/>
        <w:tab w:val="right" w:pos="9696"/>
      </w:tabs>
      <w:ind w:left="-680" w:right="-680"/>
      <w:jc w:val="left"/>
    </w:pPr>
    <w:rPr>
      <w:color w:val="5F5F5F"/>
    </w:rPr>
  </w:style>
  <w:style w:type="paragraph" w:customStyle="1" w:styleId="JuHeaderLandscape">
    <w:name w:val="Ju_Header_Landscape"/>
    <w:basedOn w:val="ECHRHeader"/>
    <w:uiPriority w:val="4"/>
    <w:qFormat/>
    <w:rsid w:val="000D5A4F"/>
    <w:pPr>
      <w:tabs>
        <w:tab w:val="clear" w:pos="3686"/>
        <w:tab w:val="clear" w:pos="7371"/>
        <w:tab w:val="center" w:pos="6146"/>
        <w:tab w:val="right" w:pos="12293"/>
      </w:tabs>
    </w:pPr>
  </w:style>
  <w:style w:type="character" w:customStyle="1" w:styleId="ECHRParaChar">
    <w:name w:val="ECHR_Para Char"/>
    <w:aliases w:val="Ju_Para Char"/>
    <w:basedOn w:val="Carpredefinitoparagrafo"/>
    <w:link w:val="ECHRPara"/>
    <w:uiPriority w:val="12"/>
    <w:rsid w:val="009A7AB9"/>
    <w:rPr>
      <w:rFonts w:eastAsiaTheme="minorEastAsia"/>
      <w:sz w:val="24"/>
    </w:rPr>
  </w:style>
  <w:style w:type="character" w:customStyle="1" w:styleId="traduction">
    <w:name w:val="traduction"/>
    <w:basedOn w:val="Carpredefinitoparagrafo"/>
    <w:rsid w:val="009A7AB9"/>
  </w:style>
  <w:style w:type="character" w:customStyle="1" w:styleId="ju-005fpara--char">
    <w:name w:val="ju-005fpara--char"/>
    <w:basedOn w:val="Carpredefinitoparagrafo"/>
    <w:rsid w:val="009A7AB9"/>
  </w:style>
  <w:style w:type="character" w:customStyle="1" w:styleId="JuQuotChar">
    <w:name w:val="Ju_Quot Char"/>
    <w:link w:val="ECHRParaQuote"/>
    <w:uiPriority w:val="14"/>
    <w:locked/>
    <w:rsid w:val="009A7AB9"/>
    <w:rPr>
      <w:rFonts w:eastAsia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03D2-CE86-4430-82B4-60F1DC5A1746}">
  <ds:schemaRefs>
    <ds:schemaRef ds:uri="http://schemas.microsoft.com/sharepoint/v3/contenttype/forms"/>
  </ds:schemaRefs>
</ds:datastoreItem>
</file>

<file path=customXml/itemProps2.xml><?xml version="1.0" encoding="utf-8"?>
<ds:datastoreItem xmlns:ds="http://schemas.openxmlformats.org/officeDocument/2006/customXml" ds:itemID="{F2325BD6-B233-472B-9548-10606BB8F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984813-9E58-439C-B2DC-989D279BD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5FCF63-280A-4720-A3D2-42C0C1DD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3750</Words>
  <Characters>21380</Characters>
  <Application>Microsoft Office Word</Application>
  <DocSecurity>0</DocSecurity>
  <Lines>178</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2016-10-13T16:19:00Z</dcterms:created>
  <dcterms:modified xsi:type="dcterms:W3CDTF">2016-10-13T16:19:00Z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